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Microservice Patterns to Architecture Decision Record (ADR) Mapping</w:t>
      </w:r>
    </w:p>
    <w:p>
      <w:r>
        <w:rPr>
          <w:sz w:val="22"/>
        </w:rPr>
        <w:t>Azure‑Native, Multi‑Region Healthcare Platform</w:t>
      </w:r>
    </w:p>
    <w:p>
      <w:r>
        <w:rPr>
          <w:sz w:val="22"/>
        </w:rPr>
        <w:t>Pattern Traceability and Architectural Rationale</w:t>
      </w:r>
    </w:p>
    <w:p>
      <w:r>
        <w:rPr>
          <w:sz w:val="22"/>
        </w:rPr>
        <w:t>Version: 1.0 | Date: April 2026</w:t>
      </w:r>
    </w:p>
    <w:p>
      <w:pPr>
        <w:pStyle w:val="Heading1"/>
      </w:pPr>
      <w:r>
        <w:rPr>
          <w:b/>
        </w:rPr>
        <w:t>1. Purpose</w:t>
      </w:r>
    </w:p>
    <w:p>
      <w:r>
        <w:rPr>
          <w:sz w:val="22"/>
        </w:rPr>
        <w:t>This document maps recommended microservice architecture patterns to formal Architecture Decision Records (ADRs). The objective is to maintain clear traceability between architectural principles, applied design patterns, and approved design decisions for audit, governance, and review purposes.</w:t>
      </w:r>
    </w:p>
    <w:p>
      <w:pPr>
        <w:pStyle w:val="Heading1"/>
      </w:pPr>
      <w:r>
        <w:rPr>
          <w:b/>
        </w:rPr>
        <w:t>2. Pattern to ADR Mapping</w:t>
      </w:r>
    </w:p>
    <w:p>
      <w:r>
        <w:rPr>
          <w:sz w:val="22"/>
        </w:rPr>
        <w:t>The following table describes how each recommended microservice pattern is formally captured and governed through ADRs.</w:t>
      </w:r>
    </w:p>
    <w:p>
      <w:r>
        <w:rPr>
          <w:sz w:val="22"/>
        </w:rPr>
        <w:t>Pattern: Domain‑Driven Bounded Contexts</w:t>
      </w:r>
    </w:p>
    <w:p>
      <w:r>
        <w:rPr>
          <w:sz w:val="22"/>
        </w:rPr>
        <w:t>Associated ADR: ADR‑06 – Domain Decomposition Strategy</w:t>
      </w:r>
    </w:p>
    <w:p>
      <w:r>
        <w:rPr>
          <w:sz w:val="22"/>
        </w:rPr>
        <w:t>Decision Summary: Each bounded context is implemented as an independent microservice with clear ownership.</w:t>
      </w:r>
    </w:p>
    <w:p>
      <w:r>
        <w:rPr>
          <w:sz w:val="22"/>
        </w:rPr>
        <w:t>Rationale: Ensures clinical logic isolation, aligns with healthcare workflows, and simplifies compliance audits.</w:t>
      </w:r>
    </w:p>
    <w:p/>
    <w:p>
      <w:r>
        <w:rPr>
          <w:sz w:val="22"/>
        </w:rPr>
        <w:t>Pattern: Database per Service</w:t>
      </w:r>
    </w:p>
    <w:p>
      <w:r>
        <w:rPr>
          <w:sz w:val="22"/>
        </w:rPr>
        <w:t>Associated ADR: ADR‑06 – Domain Decomposition Strategy</w:t>
      </w:r>
    </w:p>
    <w:p>
      <w:r>
        <w:rPr>
          <w:sz w:val="22"/>
        </w:rPr>
        <w:t>Decision Summary: Each microservice owns and manages its data without sharing databases.</w:t>
      </w:r>
    </w:p>
    <w:p>
      <w:r>
        <w:rPr>
          <w:sz w:val="22"/>
        </w:rPr>
        <w:t>Rationale: Prevents tight coupling, reduces data corruption risk, and supports independent evolution of services.</w:t>
      </w:r>
    </w:p>
    <w:p/>
    <w:p>
      <w:r>
        <w:rPr>
          <w:sz w:val="22"/>
        </w:rPr>
        <w:t>Pattern: API Gateway Pattern</w:t>
      </w:r>
    </w:p>
    <w:p>
      <w:r>
        <w:rPr>
          <w:sz w:val="22"/>
        </w:rPr>
        <w:t>Associated ADR: ADR‑03 – API Security Model</w:t>
      </w:r>
    </w:p>
    <w:p>
      <w:r>
        <w:rPr>
          <w:sz w:val="22"/>
        </w:rPr>
        <w:t>Decision Summary: All external access to microservices must pass through Azure API Management.</w:t>
      </w:r>
    </w:p>
    <w:p>
      <w:r>
        <w:rPr>
          <w:sz w:val="22"/>
        </w:rPr>
        <w:t>Rationale: Centralizes authentication, authorization, throttling, and monitoring for compliance and security.</w:t>
      </w:r>
    </w:p>
    <w:p/>
    <w:p>
      <w:r>
        <w:rPr>
          <w:sz w:val="22"/>
        </w:rPr>
        <w:t>Pattern: Orchestrated Saga Pattern</w:t>
      </w:r>
    </w:p>
    <w:p>
      <w:r>
        <w:rPr>
          <w:sz w:val="22"/>
        </w:rPr>
        <w:t>Associated ADR: ADR‑05 – Architectural Style Selection</w:t>
      </w:r>
    </w:p>
    <w:p>
      <w:r>
        <w:rPr>
          <w:sz w:val="22"/>
        </w:rPr>
        <w:t>Decision Summary: Critical clinical workflows are coordinated via a central orchestration service.</w:t>
      </w:r>
    </w:p>
    <w:p>
      <w:r>
        <w:rPr>
          <w:sz w:val="22"/>
        </w:rPr>
        <w:t>Rationale: Provides deterministic sequencing, clear rollback behavior, and audit‑friendly clinical processing.</w:t>
      </w:r>
    </w:p>
    <w:p/>
    <w:p>
      <w:r>
        <w:rPr>
          <w:sz w:val="22"/>
        </w:rPr>
        <w:t>Pattern: Event‑Driven Architecture</w:t>
      </w:r>
    </w:p>
    <w:p>
      <w:r>
        <w:rPr>
          <w:sz w:val="22"/>
        </w:rPr>
        <w:t>Associated ADR: ADR‑07 – Event‑Driven Communication</w:t>
      </w:r>
    </w:p>
    <w:p>
      <w:r>
        <w:rPr>
          <w:sz w:val="22"/>
        </w:rPr>
        <w:t>Decision Summary: Asynchronous events are used for non‑critical cross‑domain interactions.</w:t>
      </w:r>
    </w:p>
    <w:p>
      <w:r>
        <w:rPr>
          <w:sz w:val="22"/>
        </w:rPr>
        <w:t>Rationale: Improves scalability and resilience while avoiding clinical state inconsistency.</w:t>
      </w:r>
    </w:p>
    <w:p/>
    <w:p>
      <w:r>
        <w:rPr>
          <w:sz w:val="22"/>
        </w:rPr>
        <w:t>Pattern: Anti‑Corruption Layer</w:t>
      </w:r>
    </w:p>
    <w:p>
      <w:r>
        <w:rPr>
          <w:sz w:val="22"/>
        </w:rPr>
        <w:t>Associated ADR: ADR‑06 – Domain Decomposition Strategy</w:t>
      </w:r>
    </w:p>
    <w:p>
      <w:r>
        <w:rPr>
          <w:sz w:val="22"/>
        </w:rPr>
        <w:t>Decision Summary: External integrations are isolated through translation layers.</w:t>
      </w:r>
    </w:p>
    <w:p>
      <w:r>
        <w:rPr>
          <w:sz w:val="22"/>
        </w:rPr>
        <w:t>Rationale: Protects internal domain models from legacy or third‑party inconsistencies.</w:t>
      </w:r>
    </w:p>
    <w:p/>
    <w:p>
      <w:r>
        <w:rPr>
          <w:sz w:val="22"/>
        </w:rPr>
        <w:t>Pattern: Strangler Fig Pattern</w:t>
      </w:r>
    </w:p>
    <w:p>
      <w:r>
        <w:rPr>
          <w:sz w:val="22"/>
        </w:rPr>
        <w:t>Associated ADR: ADR‑08 – Rejection of Pure Microservices</w:t>
      </w:r>
    </w:p>
    <w:p>
      <w:r>
        <w:rPr>
          <w:sz w:val="22"/>
        </w:rPr>
        <w:t>Decision Summary: Legacy functionality is incrementally replaced by new services.</w:t>
      </w:r>
    </w:p>
    <w:p>
      <w:r>
        <w:rPr>
          <w:sz w:val="22"/>
        </w:rPr>
        <w:t>Rationale: Reduces migration risk and supports gradual modernization.</w:t>
      </w:r>
    </w:p>
    <w:p/>
    <w:p>
      <w:r>
        <w:rPr>
          <w:sz w:val="22"/>
        </w:rPr>
        <w:t>Pattern: Circuit Breaker &amp; Bulkhead</w:t>
      </w:r>
    </w:p>
    <w:p>
      <w:r>
        <w:rPr>
          <w:sz w:val="22"/>
        </w:rPr>
        <w:t>Associated ADR: ADR‑07 – Event‑Driven Communication</w:t>
      </w:r>
    </w:p>
    <w:p>
      <w:r>
        <w:rPr>
          <w:sz w:val="22"/>
        </w:rPr>
        <w:t>Decision Summary: Resilience patterns are applied to isolate failures and prevent cascading degradation.</w:t>
      </w:r>
    </w:p>
    <w:p>
      <w:r>
        <w:rPr>
          <w:sz w:val="22"/>
        </w:rPr>
        <w:t>Rationale: Improves system reliability and aligns with Azure Well‑Architected reliability guidance.</w:t>
      </w:r>
    </w:p>
    <w:p/>
    <w:p>
      <w:r>
        <w:rPr>
          <w:sz w:val="22"/>
        </w:rPr>
        <w:t>Pattern: Idempotency</w:t>
      </w:r>
    </w:p>
    <w:p>
      <w:r>
        <w:rPr>
          <w:sz w:val="22"/>
        </w:rPr>
        <w:t>Associated ADR: ADR‑09 – Deployment Variant Selection</w:t>
      </w:r>
    </w:p>
    <w:p>
      <w:r>
        <w:rPr>
          <w:sz w:val="22"/>
        </w:rPr>
        <w:t>Decision Summary: All commands and events are designed to be idempotent.</w:t>
      </w:r>
    </w:p>
    <w:p>
      <w:r>
        <w:rPr>
          <w:sz w:val="22"/>
        </w:rPr>
        <w:t>Rationale: Supports retries, multi‑region deployment, and disaster recovery without data inconsistency.</w:t>
      </w:r>
    </w:p>
    <w:p/>
    <w:p>
      <w:pPr>
        <w:pStyle w:val="Heading1"/>
      </w:pPr>
      <w:r>
        <w:rPr>
          <w:b/>
        </w:rPr>
        <w:t>3. Governance and Compliance</w:t>
      </w:r>
    </w:p>
    <w:p>
      <w:r>
        <w:rPr>
          <w:sz w:val="22"/>
        </w:rPr>
        <w:t>All ADRs listed in this mapping are mandatory review artifacts for architecture changes. Any deviation from the approved patterns requires an explicit ADR amendment and Architecture Review Board approval.</w:t>
      </w:r>
    </w:p>
    <w:p>
      <w:pPr>
        <w:pStyle w:val="Heading1"/>
      </w:pPr>
      <w:r>
        <w:rPr>
          <w:b/>
        </w:rPr>
        <w:t>4. Conclusion</w:t>
      </w:r>
    </w:p>
    <w:p>
      <w:r>
        <w:rPr>
          <w:sz w:val="22"/>
        </w:rPr>
        <w:t>This mapping ensures strong traceability between microservice design patterns and formal architectural decisions. It supports consistent implementation, simplifies audits, and reinforces governance across the Azure‑native healthcare platform.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Bhatia, Uttam Kumar (Cognizant)</dc:creator>
  <keywords/>
  <dc:description>generated by python-docx</dc:description>
  <lastModifiedBy>Bhatia, Uttam Kumar (Cognizant)</lastModifiedBy>
  <revision>1</revision>
  <dcterms:created xsi:type="dcterms:W3CDTF">2026-05-10T04:15:40.1250120Z</dcterms:created>
  <dcterms:modified xsi:type="dcterms:W3CDTF">2026-05-10T04:15:40.1250120Z</dcterms:modified>
  <category/>
</coreProperties>
</file>