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Microservice Patterns to Azure Services Mapping</w:t>
      </w:r>
    </w:p>
    <w:p>
      <w:r>
        <w:rPr>
          <w:sz w:val="22"/>
        </w:rPr>
        <w:t>Azure‑Native, Multi‑Region Healthcare Platform</w:t>
      </w:r>
    </w:p>
    <w:p>
      <w:r>
        <w:rPr>
          <w:sz w:val="22"/>
        </w:rPr>
        <w:t>Concrete Realization of Architecture Patterns on Azure</w:t>
      </w:r>
    </w:p>
    <w:p>
      <w:r>
        <w:rPr>
          <w:sz w:val="22"/>
        </w:rPr>
        <w:t>Version: 1.0</w:t>
      </w:r>
    </w:p>
    <w:p>
      <w:r>
        <w:rPr>
          <w:sz w:val="22"/>
        </w:rPr>
        <w:t>Date: April 2026</w:t>
      </w:r>
    </w:p>
    <w:p>
      <w:pPr>
        <w:pStyle w:val="Heading1"/>
      </w:pPr>
      <w:r>
        <w:rPr>
          <w:b/>
        </w:rPr>
        <w:t>1. Purpose</w:t>
      </w:r>
    </w:p>
    <w:p>
      <w:r>
        <w:rPr>
          <w:sz w:val="22"/>
        </w:rPr>
        <w:t>This document maps recommended microservice architecture patterns to the Azure services used to implement them. The goal is to ensure that architectural patterns are not abstract concepts but are realized using concrete, governed, and auditable Azure capabilities.</w:t>
      </w:r>
    </w:p>
    <w:p>
      <w:pPr>
        <w:pStyle w:val="Heading1"/>
      </w:pPr>
      <w:r>
        <w:rPr>
          <w:b/>
        </w:rPr>
        <w:t>2. Mapping Overview</w:t>
      </w:r>
    </w:p>
    <w:p>
      <w:r>
        <w:rPr>
          <w:sz w:val="22"/>
        </w:rPr>
        <w:t>Each section below describes a microservice pattern, the Azure services used to implement it, and the architectural rationale. This mapping is aligned with Azure Landing Zone principles, Azure Well‑Architected Framework guidance, and healthcare regulatory expectations.</w:t>
      </w:r>
    </w:p>
    <w:p>
      <w:pPr>
        <w:pStyle w:val="Heading2"/>
      </w:pPr>
      <w:r>
        <w:rPr>
          <w:b/>
        </w:rPr>
        <w:t>3. Bounded Context per Microservice</w:t>
      </w:r>
    </w:p>
    <w:p>
      <w:r>
        <w:rPr>
          <w:sz w:val="22"/>
        </w:rPr>
        <w:t>Azure Services: Azure Kubernetes Service (AKS), Azure Container Registry (ACR), Spoke Subscriptions</w:t>
      </w:r>
    </w:p>
    <w:p>
      <w:r>
        <w:rPr>
          <w:sz w:val="22"/>
        </w:rPr>
        <w:t>Rationale: Each bounded context is deployed as an independent service with its own lifecycle, scaling, and ownership. AKS and spoke isolation enforce strong domain boundaries.</w:t>
      </w:r>
    </w:p>
    <w:p>
      <w:pPr>
        <w:pStyle w:val="Heading2"/>
      </w:pPr>
      <w:r>
        <w:rPr>
          <w:b/>
        </w:rPr>
        <w:t>4. Database per Service</w:t>
      </w:r>
    </w:p>
    <w:p>
      <w:r>
        <w:rPr>
          <w:sz w:val="22"/>
        </w:rPr>
        <w:t>Azure Services: Azure Health Data Services (FHIR), Azure SQL, Azure Cosmos DB, Private Endpoints</w:t>
      </w:r>
    </w:p>
    <w:p>
      <w:r>
        <w:rPr>
          <w:sz w:val="22"/>
        </w:rPr>
        <w:t>Rationale: Each service owns its data store, preventing shared database coupling and enforcing strict access control for protected health information.</w:t>
      </w:r>
    </w:p>
    <w:p>
      <w:pPr>
        <w:pStyle w:val="Heading2"/>
      </w:pPr>
      <w:r>
        <w:rPr>
          <w:b/>
        </w:rPr>
        <w:t>5. API Gateway Pattern</w:t>
      </w:r>
    </w:p>
    <w:p>
      <w:r>
        <w:rPr>
          <w:sz w:val="22"/>
        </w:rPr>
        <w:t>Azure Services: Azure API Management, Azure Front Door</w:t>
      </w:r>
    </w:p>
    <w:p>
      <w:r>
        <w:rPr>
          <w:sz w:val="22"/>
        </w:rPr>
        <w:t>Rationale: All external traffic is centralized through the API gateway, enabling authentication, authorization, throttling, versioning, and compliance monitoring.</w:t>
      </w:r>
    </w:p>
    <w:p>
      <w:pPr>
        <w:pStyle w:val="Heading2"/>
      </w:pPr>
      <w:r>
        <w:rPr>
          <w:b/>
        </w:rPr>
        <w:t>6. Orchestrated Saga Pattern</w:t>
      </w:r>
    </w:p>
    <w:p>
      <w:r>
        <w:rPr>
          <w:sz w:val="22"/>
        </w:rPr>
        <w:t>Azure Services: AKS‑hosted Orchestrator Service, Azure Service Bus</w:t>
      </w:r>
    </w:p>
    <w:p>
      <w:r>
        <w:rPr>
          <w:sz w:val="22"/>
        </w:rPr>
        <w:t>Rationale: Critical clinical workflows require deterministic sequencing and compensation logic, which is achieved through centralized orchestration and reliable messaging.</w:t>
      </w:r>
    </w:p>
    <w:p>
      <w:pPr>
        <w:pStyle w:val="Heading2"/>
      </w:pPr>
      <w:r>
        <w:rPr>
          <w:b/>
        </w:rPr>
        <w:t>7. Event‑Driven Architecture</w:t>
      </w:r>
    </w:p>
    <w:p>
      <w:r>
        <w:rPr>
          <w:sz w:val="22"/>
        </w:rPr>
        <w:t>Azure Services: Azure Service Bus, Azure Event Grid</w:t>
      </w:r>
    </w:p>
    <w:p>
      <w:r>
        <w:rPr>
          <w:sz w:val="22"/>
        </w:rPr>
        <w:t>Rationale: Asynchronous events decouple services for non‑critical workflows while ensuring reliable delivery, dead‑letter handling, and regional resiliency.</w:t>
      </w:r>
    </w:p>
    <w:p>
      <w:pPr>
        <w:pStyle w:val="Heading2"/>
      </w:pPr>
      <w:r>
        <w:rPr>
          <w:b/>
        </w:rPr>
        <w:t>8. Anti‑Corruption Layer</w:t>
      </w:r>
    </w:p>
    <w:p>
      <w:r>
        <w:rPr>
          <w:sz w:val="22"/>
        </w:rPr>
        <w:t>Azure Services: AKS Integration Services, Azure Logic Apps, Azure API Management</w:t>
      </w:r>
    </w:p>
    <w:p>
      <w:r>
        <w:rPr>
          <w:sz w:val="22"/>
        </w:rPr>
        <w:t>Rationale: External and legacy systems are isolated via translation layers that protect internal domain models from incompatible schemas and behaviors.</w:t>
      </w:r>
    </w:p>
    <w:p>
      <w:pPr>
        <w:pStyle w:val="Heading2"/>
      </w:pPr>
      <w:r>
        <w:rPr>
          <w:b/>
        </w:rPr>
        <w:t>9. Circuit Breaker Pattern</w:t>
      </w:r>
    </w:p>
    <w:p>
      <w:r>
        <w:rPr>
          <w:sz w:val="22"/>
        </w:rPr>
        <w:t>Azure Services: Azure API Management Policies, Azure Monitor</w:t>
      </w:r>
    </w:p>
    <w:p>
      <w:r>
        <w:rPr>
          <w:sz w:val="22"/>
        </w:rPr>
        <w:t>Rationale: Circuit breakers prevent cascading failures by stopping calls to unhealthy dependencies and providing visibility into degraded states.</w:t>
      </w:r>
    </w:p>
    <w:p>
      <w:pPr>
        <w:pStyle w:val="Heading2"/>
      </w:pPr>
      <w:r>
        <w:rPr>
          <w:b/>
        </w:rPr>
        <w:t>10. Bulkhead Isolation Pattern</w:t>
      </w:r>
    </w:p>
    <w:p>
      <w:r>
        <w:rPr>
          <w:sz w:val="22"/>
        </w:rPr>
        <w:t>Azure Services: AKS Dedicated Node Pools, Spoke VNets</w:t>
      </w:r>
    </w:p>
    <w:p>
      <w:r>
        <w:rPr>
          <w:sz w:val="22"/>
        </w:rPr>
        <w:t>Rationale: Services are isolated at compute and network levels to prevent resource exhaustion or failures in one service from impacting others.</w:t>
      </w:r>
    </w:p>
    <w:p>
      <w:pPr>
        <w:pStyle w:val="Heading2"/>
      </w:pPr>
      <w:r>
        <w:rPr>
          <w:b/>
        </w:rPr>
        <w:t>11. Idempotency Pattern</w:t>
      </w:r>
    </w:p>
    <w:p>
      <w:r>
        <w:rPr>
          <w:sz w:val="22"/>
        </w:rPr>
        <w:t>Azure Services: Azure Service Bus Message Deduplication, Azure SQL / Cosmos DB Constraints</w:t>
      </w:r>
    </w:p>
    <w:p>
      <w:r>
        <w:rPr>
          <w:sz w:val="22"/>
        </w:rPr>
        <w:t>Rationale: Idempotent processing ensures safe retries and supports active‑active multi‑region deployment without duplicate or inconsistent outcomes.</w:t>
      </w:r>
    </w:p>
    <w:p>
      <w:pPr>
        <w:pStyle w:val="Heading2"/>
      </w:pPr>
      <w:r>
        <w:rPr>
          <w:b/>
        </w:rPr>
        <w:t>12. CI/CD with Guardrails</w:t>
      </w:r>
    </w:p>
    <w:p>
      <w:r>
        <w:rPr>
          <w:sz w:val="22"/>
        </w:rPr>
        <w:t>Azure Services: Azure DevOps or GitHub Actions, Azure Policy, Azure Container Registry</w:t>
      </w:r>
    </w:p>
    <w:p>
      <w:r>
        <w:rPr>
          <w:sz w:val="22"/>
        </w:rPr>
        <w:t>Rationale: Continuous delivery pipelines enforce security, compliance, and consistency across regions while preventing manual, non‑auditable deployments.</w:t>
      </w:r>
    </w:p>
    <w:p>
      <w:pPr>
        <w:pStyle w:val="Heading2"/>
      </w:pPr>
      <w:r>
        <w:rPr>
          <w:b/>
        </w:rPr>
        <w:t>13. Observability‑First Pattern</w:t>
      </w:r>
    </w:p>
    <w:p>
      <w:r>
        <w:rPr>
          <w:sz w:val="22"/>
        </w:rPr>
        <w:t>Azure Services: Azure Monitor, Log Analytics, Application Insights, Microsoft Sentinel</w:t>
      </w:r>
    </w:p>
    <w:p>
      <w:r>
        <w:rPr>
          <w:sz w:val="22"/>
        </w:rPr>
        <w:t>Rationale: Centralized logging, metrics, tracing, and security analytics provide audit evidence, operational insight, and continuous improvement capability.</w:t>
      </w:r>
    </w:p>
    <w:p>
      <w:pPr>
        <w:pStyle w:val="Heading1"/>
      </w:pPr>
      <w:r>
        <w:rPr>
          <w:b/>
        </w:rPr>
        <w:t>14. Conclusion</w:t>
      </w:r>
    </w:p>
    <w:p>
      <w:r>
        <w:rPr>
          <w:sz w:val="22"/>
        </w:rPr>
        <w:t>By mapping microservice patterns directly to Azure services, the architecture ensures that design principles are concretely implemented, governable, and auditable. This approach is essential for building resilient, secure, and compliant multi‑region healthcare platforms on Azure.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Bhatia, Uttam Kumar (Cognizant)</dc:creator>
  <keywords/>
  <dc:description>generated by python-docx</dc:description>
  <lastModifiedBy>Bhatia, Uttam Kumar (Cognizant)</lastModifiedBy>
  <revision>1</revision>
  <dcterms:created xsi:type="dcterms:W3CDTF">2026-05-10T04:34:07.1900235Z</dcterms:created>
  <dcterms:modified xsi:type="dcterms:W3CDTF">2026-05-10T04:34:07.1900235Z</dcterms:modified>
  <category/>
</coreProperties>
</file>