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Microservice Architecture Principles &amp; Patterns</w:t>
      </w:r>
    </w:p>
    <w:p>
      <w:r>
        <w:rPr>
          <w:sz w:val="22"/>
        </w:rPr>
        <w:t>Azure‑Native, Multi‑Region Healthcare Platform</w:t>
      </w:r>
    </w:p>
    <w:p>
      <w:r>
        <w:rPr>
          <w:sz w:val="22"/>
        </w:rPr>
        <w:t>Recommended Principles, Patterns, and Rationales</w:t>
      </w:r>
    </w:p>
    <w:p>
      <w:r>
        <w:rPr>
          <w:sz w:val="22"/>
        </w:rPr>
        <w:t>Version: 1.0</w:t>
      </w:r>
    </w:p>
    <w:p>
      <w:r>
        <w:rPr>
          <w:sz w:val="22"/>
        </w:rPr>
        <w:t>Date: April 2026</w:t>
      </w:r>
    </w:p>
    <w:p>
      <w:pPr>
        <w:pStyle w:val="Heading1"/>
      </w:pPr>
      <w:r>
        <w:rPr>
          <w:b/>
        </w:rPr>
        <w:t>1. Introduction</w:t>
      </w:r>
    </w:p>
    <w:p>
      <w:r>
        <w:rPr>
          <w:sz w:val="22"/>
        </w:rPr>
        <w:t>This document outlines the recommended microservice architecture principles and patterns for an Azure‑native, multi‑region healthcare platform. The recommendations emphasize clinical safety, regulatory compliance, operational resilience, and governed scalability.</w:t>
      </w:r>
    </w:p>
    <w:p>
      <w:pPr>
        <w:pStyle w:val="Heading1"/>
      </w:pPr>
      <w:r>
        <w:rPr>
          <w:b/>
        </w:rPr>
        <w:t>2. Recommended Architectural Style</w:t>
      </w:r>
    </w:p>
    <w:p>
      <w:r>
        <w:rPr>
          <w:sz w:val="22"/>
        </w:rPr>
        <w:t>The recommended architectural approach is a Domain‑Driven, Governance‑First Microservices Architecture with selective Event‑Driven collaboration. This style balances independent service evolution with strong central governance, which is essential for regulated healthcare environments.</w:t>
      </w:r>
    </w:p>
    <w:p>
      <w:pPr>
        <w:pStyle w:val="Heading1"/>
      </w:pPr>
      <w:r>
        <w:rPr>
          <w:b/>
        </w:rPr>
        <w:t>3. Core Microservice Principles</w:t>
      </w:r>
    </w:p>
    <w:p>
      <w:pPr>
        <w:pStyle w:val="Heading2"/>
      </w:pPr>
      <w:r>
        <w:rPr>
          <w:b/>
        </w:rPr>
        <w:t>3.1 Bounded Context per Microservice</w:t>
      </w:r>
    </w:p>
    <w:p>
      <w:r>
        <w:rPr>
          <w:sz w:val="22"/>
        </w:rPr>
        <w:t>Each microservice must represent a single bounded context as defined by Domain‑Driven Design. Examples include Care Plan Service, Consent Service, Protocol Service, and Audit Service. Cross‑domain responsibilities and shared utility services are explicitly prohibited.</w:t>
      </w:r>
    </w:p>
    <w:p>
      <w:pPr>
        <w:pStyle w:val="Heading2"/>
      </w:pPr>
      <w:r>
        <w:rPr>
          <w:b/>
        </w:rPr>
        <w:t>3.2 Database per Service</w:t>
      </w:r>
    </w:p>
    <w:p>
      <w:r>
        <w:rPr>
          <w:sz w:val="22"/>
        </w:rPr>
        <w:t>Every microservice must own its data exclusively. Databases must not be shared across services, and cross‑service data access may occur only via APIs or events. This principle prevents tight coupling and preserves data integrity.</w:t>
      </w:r>
    </w:p>
    <w:p>
      <w:pPr>
        <w:pStyle w:val="Heading2"/>
      </w:pPr>
      <w:r>
        <w:rPr>
          <w:b/>
        </w:rPr>
        <w:t>3.3 API Gateway Pattern</w:t>
      </w:r>
    </w:p>
    <w:p>
      <w:r>
        <w:rPr>
          <w:sz w:val="22"/>
        </w:rPr>
        <w:t>All external access to microservices must be mediated through an API Gateway. The gateway enforces authentication, authorization, throttling, schema validation, and versioning.</w:t>
      </w:r>
    </w:p>
    <w:p>
      <w:pPr>
        <w:pStyle w:val="Heading2"/>
      </w:pPr>
      <w:r>
        <w:rPr>
          <w:b/>
        </w:rPr>
        <w:t>3.4 Stateless Services</w:t>
      </w:r>
    </w:p>
    <w:p>
      <w:r>
        <w:rPr>
          <w:sz w:val="22"/>
        </w:rPr>
        <w:t>Microservices must be stateless, with all state stored in managed data services. This enables horizontal scalability, predictable failover, and zero‑downtime deployments.</w:t>
      </w:r>
    </w:p>
    <w:p>
      <w:pPr>
        <w:pStyle w:val="Heading1"/>
      </w:pPr>
      <w:r>
        <w:rPr>
          <w:b/>
        </w:rPr>
        <w:t>4. Recommended Design Patterns</w:t>
      </w:r>
    </w:p>
    <w:p>
      <w:pPr>
        <w:pStyle w:val="Heading2"/>
      </w:pPr>
      <w:r>
        <w:rPr>
          <w:b/>
        </w:rPr>
        <w:t>4.1 Saga Pattern (Orchestrated)</w:t>
      </w:r>
    </w:p>
    <w:p>
      <w:r>
        <w:rPr>
          <w:sz w:val="22"/>
        </w:rPr>
        <w:t>The orchestrated Saga pattern is recommended for clinical workflows such as care plan lifecycles. A single orchestrator controls sequencing and compensating actions, ensuring deterministic and auditable behavior.</w:t>
      </w:r>
    </w:p>
    <w:p>
      <w:pPr>
        <w:pStyle w:val="Heading2"/>
      </w:pPr>
      <w:r>
        <w:rPr>
          <w:b/>
        </w:rPr>
        <w:t>4.2 Event‑Driven Architecture</w:t>
      </w:r>
    </w:p>
    <w:p>
      <w:r>
        <w:rPr>
          <w:sz w:val="22"/>
        </w:rPr>
        <w:t>Event‑driven communication is recommended for non‑critical workflows including notifications, alerts, and analytics. Events represent immutable facts and must never replace authoritative writes.</w:t>
      </w:r>
    </w:p>
    <w:p>
      <w:pPr>
        <w:pStyle w:val="Heading2"/>
      </w:pPr>
      <w:r>
        <w:rPr>
          <w:b/>
        </w:rPr>
        <w:t>4.3 Anti‑Corruption Layer</w:t>
      </w:r>
    </w:p>
    <w:p>
      <w:r>
        <w:rPr>
          <w:sz w:val="22"/>
        </w:rPr>
        <w:t>An Anti‑Corruption Layer is mandatory for all integrations with external or legacy systems. This layer protects internal domain models from external data inconsistencies and behaviors.</w:t>
      </w:r>
    </w:p>
    <w:p>
      <w:pPr>
        <w:pStyle w:val="Heading2"/>
      </w:pPr>
      <w:r>
        <w:rPr>
          <w:b/>
        </w:rPr>
        <w:t>4.4 Strangler Fig Pattern</w:t>
      </w:r>
    </w:p>
    <w:p>
      <w:r>
        <w:rPr>
          <w:sz w:val="22"/>
        </w:rPr>
        <w:t>The Strangler Fig pattern is recommended for incremental modernization and migration from legacy systems, reducing delivery risk and enabling gradual service extraction.</w:t>
      </w:r>
    </w:p>
    <w:p>
      <w:pPr>
        <w:pStyle w:val="Heading1"/>
      </w:pPr>
      <w:r>
        <w:rPr>
          <w:b/>
        </w:rPr>
        <w:t>5. Resilience and Safety Patterns</w:t>
      </w:r>
    </w:p>
    <w:p>
      <w:pPr>
        <w:pStyle w:val="Heading2"/>
      </w:pPr>
      <w:r>
        <w:rPr>
          <w:b/>
        </w:rPr>
        <w:t>5.1 Circuit Breaker</w:t>
      </w:r>
    </w:p>
    <w:p>
      <w:r>
        <w:rPr>
          <w:sz w:val="22"/>
        </w:rPr>
        <w:t>Circuit breakers are mandatory to prevent cascading failures caused by slow or unavailable downstream dependencies.</w:t>
      </w:r>
    </w:p>
    <w:p>
      <w:pPr>
        <w:pStyle w:val="Heading2"/>
      </w:pPr>
      <w:r>
        <w:rPr>
          <w:b/>
        </w:rPr>
        <w:t>5.2 Bulkhead Isolation</w:t>
      </w:r>
    </w:p>
    <w:p>
      <w:r>
        <w:rPr>
          <w:sz w:val="22"/>
        </w:rPr>
        <w:t>Bulkhead isolation ensures that failures in one microservice do not exhaust shared resources or impact other services.</w:t>
      </w:r>
    </w:p>
    <w:p>
      <w:pPr>
        <w:pStyle w:val="Heading2"/>
      </w:pPr>
      <w:r>
        <w:rPr>
          <w:b/>
        </w:rPr>
        <w:t>5.3 Retry and Dead‑Letter Queues</w:t>
      </w:r>
    </w:p>
    <w:p>
      <w:r>
        <w:rPr>
          <w:sz w:val="22"/>
        </w:rPr>
        <w:t>Retries are permitted only for transient infrastructure failures. Clinical, authorization, or protocol validation errors must never be retried.</w:t>
      </w:r>
    </w:p>
    <w:p>
      <w:pPr>
        <w:pStyle w:val="Heading2"/>
      </w:pPr>
      <w:r>
        <w:rPr>
          <w:b/>
        </w:rPr>
        <w:t>5.4 Idempotency</w:t>
      </w:r>
    </w:p>
    <w:p>
      <w:r>
        <w:rPr>
          <w:sz w:val="22"/>
        </w:rPr>
        <w:t>All commands and events must be idempotent, especially in multi‑region and retry scenarios, to prevent duplicate or inconsistent processing.</w:t>
      </w:r>
    </w:p>
    <w:p>
      <w:pPr>
        <w:pStyle w:val="Heading1"/>
      </w:pPr>
      <w:r>
        <w:rPr>
          <w:b/>
        </w:rPr>
        <w:t>6. Data and Consistency Patterns</w:t>
      </w:r>
    </w:p>
    <w:p>
      <w:r>
        <w:rPr>
          <w:sz w:val="22"/>
        </w:rPr>
        <w:t>Eventual consistency is acceptable for non‑clinical workflows such as reporting and analytics, but not for clinical state or consent enforcement. Each microservice defines a strict transactional boundary, and distributed transactions are explicitly avoided.</w:t>
      </w:r>
    </w:p>
    <w:p>
      <w:pPr>
        <w:pStyle w:val="Heading1"/>
      </w:pPr>
      <w:r>
        <w:rPr>
          <w:b/>
        </w:rPr>
        <w:t>7. Governance and Operational Patterns</w:t>
      </w:r>
    </w:p>
    <w:p>
      <w:r>
        <w:rPr>
          <w:sz w:val="22"/>
        </w:rPr>
        <w:t>Governance is enforced through policy‑as‑code, centralized CI/CD pipelines, and standardized observability. Every microservice must emit logs, metrics, traces, and audit events without exception.</w:t>
      </w:r>
    </w:p>
    <w:p>
      <w:pPr>
        <w:pStyle w:val="Heading1"/>
      </w:pPr>
      <w:r>
        <w:rPr>
          <w:b/>
        </w:rPr>
        <w:t>8. Explicitly Discouraged Patterns</w:t>
      </w:r>
    </w:p>
    <w:p>
      <w:r>
        <w:rPr>
          <w:sz w:val="22"/>
        </w:rPr>
        <w:t>Shared databases, chatty synchronous communication, choreography for clinical workflows, and unmanaged serverless orchestration are discouraged as they increase risk and reduce auditability.</w:t>
      </w:r>
    </w:p>
    <w:p>
      <w:pPr>
        <w:pStyle w:val="Heading1"/>
      </w:pPr>
      <w:r>
        <w:rPr>
          <w:b/>
        </w:rPr>
        <w:t>9. Summary</w:t>
      </w:r>
    </w:p>
    <w:p>
      <w:r>
        <w:rPr>
          <w:sz w:val="22"/>
        </w:rPr>
        <w:t>By adhering to these principles and patterns, the platform achieves scalable, resilient, and auditable microservices suited for Azure‑native, multi‑region healthcare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Bhatia, Uttam Kumar (Cognizant)</dc:creator>
  <keywords/>
  <dc:description>generated by python-docx</dc:description>
  <lastModifiedBy>Bhatia, Uttam Kumar (Cognizant)</lastModifiedBy>
  <revision>1</revision>
  <dcterms:created xsi:type="dcterms:W3CDTF">2026-05-10T04:02:02.2004343Z</dcterms:created>
  <dcterms:modified xsi:type="dcterms:W3CDTF">2026-05-10T04:02:02.2004343Z</dcterms:modified>
  <category/>
</coreProperties>
</file>