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Segoe UI" w:hAnsi="Segoe UI"/>
          <w:b/>
          <w:color w:val="1B365D"/>
          <w:sz w:val="20"/>
        </w:rPr>
        <w:t>AI511 HCI and Visualization</w:t>
      </w:r>
    </w:p>
    <w:p>
      <w:pPr>
        <w:spacing w:before="40" w:after="40"/>
      </w:pPr>
      <w:r>
        <w:rPr>
          <w:rFonts w:ascii="Segoe UI" w:hAnsi="Segoe UI"/>
          <w:b/>
          <w:color w:val="091E3A"/>
          <w:sz w:val="32"/>
        </w:rPr>
        <w:t>Dash: Lab 9 Validation Report</w:t>
      </w:r>
    </w:p>
    <w:p>
      <w:pPr>
        <w:spacing w:before="0" w:after="160"/>
      </w:pPr>
      <w:r>
        <w:rPr>
          <w:rFonts w:ascii="Segoe UI" w:hAnsi="Segoe UI"/>
          <w:color w:val="1E477A"/>
          <w:sz w:val="21"/>
        </w:rPr>
        <w:t>Validation of the improved build</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173259"/>
          </w:tcPr>
          <w:p>
            <w:pPr>
              <w:spacing w:before="40" w:after="40"/>
            </w:pPr>
            <w:r>
              <w:rPr>
                <w:rFonts w:ascii="Segoe UI" w:hAnsi="Segoe UI"/>
                <w:b/>
                <w:color w:val="FFFFFF"/>
                <w:sz w:val="16"/>
              </w:rPr>
              <w:t xml:space="preserve">Evaluation Milestone: </w:t>
            </w:r>
            <w:r>
              <w:rPr>
                <w:rFonts w:ascii="Segoe UI" w:hAnsi="Segoe UI"/>
                <w:b/>
                <w:color w:val="FFFFFF"/>
                <w:sz w:val="16"/>
              </w:rPr>
              <w:t>Lab 9: Validation Report</w:t>
            </w:r>
          </w:p>
        </w:tc>
        <w:tc>
          <w:tcPr>
            <w:tcW w:type="dxa" w:w="50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173259"/>
          </w:tcPr>
          <w:p>
            <w:pPr>
              <w:spacing w:before="40" w:after="40"/>
            </w:pPr>
            <w:r>
              <w:rPr>
                <w:rFonts w:ascii="Segoe UI" w:hAnsi="Segoe UI"/>
                <w:b/>
                <w:color w:val="FFFFFF"/>
                <w:sz w:val="16"/>
              </w:rPr>
              <w:t xml:space="preserve">Tested Build: </w:t>
            </w:r>
            <w:r>
              <w:rPr>
                <w:rFonts w:ascii="Segoe UI" w:hAnsi="Segoe UI"/>
                <w:b/>
                <w:color w:val="FFFFFF"/>
                <w:sz w:val="16"/>
              </w:rPr>
              <w:t>Commit e9b79bb (v3.0.0)</w:t>
            </w:r>
          </w:p>
        </w:tc>
      </w:tr>
      <w:tr>
        <w:trPr>
          <w:cantSplit/>
        </w:trPr>
        <w:tc>
          <w:tcPr>
            <w:tcW w:type="dxa" w:w="50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b/>
                <w:color w:val="1E293B"/>
                <w:sz w:val="15"/>
              </w:rPr>
              <w:t xml:space="preserve">Team Members: </w:t>
            </w:r>
            <w:r>
              <w:rPr>
                <w:rFonts w:ascii="Segoe UI" w:hAnsi="Segoe UI"/>
                <w:color w:val="1E293B"/>
                <w:sz w:val="15"/>
              </w:rPr>
              <w:t>Harshit &amp; Uttam Kumar</w:t>
            </w:r>
          </w:p>
        </w:tc>
        <w:tc>
          <w:tcPr>
            <w:tcW w:type="dxa" w:w="50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b/>
                <w:color w:val="1E293B"/>
                <w:sz w:val="15"/>
              </w:rPr>
              <w:t xml:space="preserve">Corridor Under Test: </w:t>
            </w:r>
            <w:r>
              <w:rPr>
                <w:rFonts w:ascii="Segoe UI" w:hAnsi="Segoe UI"/>
                <w:color w:val="1E293B"/>
                <w:sz w:val="15"/>
              </w:rPr>
              <w:t>Jaipur (JP) ↔ Delhi Metropolitan Cluster</w:t>
            </w:r>
          </w:p>
        </w:tc>
      </w:tr>
    </w:tbl>
    <w:p>
      <w:pPr>
        <w:spacing w:before="200" w:after="40"/>
      </w:pPr>
      <w:r>
        <w:rPr>
          <w:b/>
          <w:color w:val="091E3A"/>
          <w:sz w:val="23"/>
        </w:rPr>
        <w:t>1. Purpose and scope</w:t>
      </w:r>
    </w:p>
    <w:p>
      <w:r>
        <w:t>Lab 9 evaluates whether the interface changes made after Lab 7 address the usability problems identified during the earlier evaluation. The report follows the three evaluation categories specified in the Lab 9 brief: usability inspection, user-based evaluation, and accessibility evaluation. It is limited to the prototype build actually tested and does not treat intended features as verified outcomes.</w:t>
      </w:r>
    </w:p>
    <w:p>
      <w:r>
        <w:t>Dash is a journey-planning and booking-flow prototype for exploring train options and passenger requirements. Seat-availability values used in the prototype are demonstrative, not a verified live reservation inventory; the payment step is a simulated handoff. These boundaries should remain visible to participants and must not be described as completed railway bookings.</w:t>
      </w:r>
    </w:p>
    <w:p>
      <w:pPr>
        <w:spacing w:before="160" w:after="40"/>
      </w:pPr>
      <w:r>
        <w:rPr>
          <w:b/>
          <w:color w:val="091E3A"/>
          <w:sz w:val="23"/>
        </w:rPr>
        <w:t>2. Evaluation questions</w:t>
      </w:r>
    </w:p>
    <w:p>
      <w:r>
        <w:t>1. Can a first-time user complete the two selected journey-planning tasks without assistance?</w:t>
      </w:r>
    </w:p>
    <w:p>
      <w:r>
        <w:t>2. Do the changes made since Lab 7 reduce observed hesitation, errors, or unnecessary navigation?</w:t>
      </w:r>
    </w:p>
    <w:p>
      <w:r>
        <w:t>3. Which previously identified usability and accessibility issues remain present in the current build?</w:t>
      </w:r>
    </w:p>
    <w:p>
      <w:r>
        <w:t>4. What limitations or risks must be addressed before the final project presentation?</w:t>
      </w:r>
    </w:p>
    <w:p>
      <w:pPr>
        <w:spacing w:before="160" w:after="40"/>
      </w:pPr>
      <w:r>
        <w:rPr>
          <w:b/>
          <w:color w:val="091E3A"/>
          <w:sz w:val="23"/>
        </w:rPr>
        <w:t>3. Key tasks and measurable success criteria</w:t>
      </w:r>
    </w:p>
    <w:p>
      <w:r>
        <w:t>Use the same task definitions in Lab 7 and Lab 9 wherever possible. Record the targets before testing begins. The criteria below represent confirmed operational definitions derived from Lab 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Task</w:t>
            </w:r>
          </w:p>
        </w:tc>
        <w:tc>
          <w:tcPr>
            <w:tcW w:type="dxa" w:w="460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Task statement (confirm against Lab 5)</w:t>
            </w:r>
          </w:p>
        </w:tc>
        <w:tc>
          <w:tcPr>
            <w:tcW w:type="dxa" w:w="288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Measures to record</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Task 1 — Find and select a journey</w:t>
            </w:r>
          </w:p>
        </w:tc>
        <w:tc>
          <w:tcPr>
            <w:tcW w:type="dxa" w:w="460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Given a specified origin (Jaipur JP), destination (Delhi All Stations), and date, find a suitable train option and select it.</w:t>
            </w:r>
          </w:p>
        </w:tc>
        <w:tc>
          <w:tcPr>
            <w:tcW w:type="dxa" w:w="288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Completion (yes/no); elapsed time; assistance; errors; observable hesitation.</w:t>
              <w:br/>
              <w:t>Target: ≤ 4.5s; 100% completion; 0 errors.</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Task 2 — Enter passenger requirements and review</w:t>
            </w:r>
          </w:p>
        </w:tc>
        <w:tc>
          <w:tcPr>
            <w:tcW w:type="dxa" w:w="460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Add the required passenger(s) (including a senior passenger age ≥ 60), set applicable class/berth preferences, and reach the review step.</w:t>
            </w:r>
          </w:p>
        </w:tc>
        <w:tc>
          <w:tcPr>
            <w:tcW w:type="dxa" w:w="288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Completion (yes/no); elapsed time; assistance; errors; preference-entry mistakes.</w:t>
              <w:br/>
              <w:t>Target: ≤ 8.0s; 100% completion; 0 errors.</w:t>
            </w:r>
          </w:p>
        </w:tc>
      </w:tr>
    </w:tbl>
    <w:p>
      <w:r>
        <w:t>We do not retrospectively choose targets to match the observed results. Task time starts when the task prompt is given and the interactive view is presented, and ends upon clicking the definitive selection or review button. An error is defined as navigating away from the intended flow, entering invalid input, or backtracking due to confusion. Observable hesitation is logged when visual scanning pauses exceed 5 seconds. Assistance was not provided; any required coaching would invalidate unassisted task completion.</w:t>
      </w:r>
    </w:p>
    <w:p>
      <w:pPr>
        <w:spacing w:before="160" w:after="40"/>
      </w:pPr>
      <w:r>
        <w:rPr>
          <w:b/>
          <w:color w:val="091E3A"/>
          <w:sz w:val="23"/>
        </w:rPr>
        <w:t>4. User-based evaluation protocol</w:t>
      </w:r>
    </w:p>
    <w:p>
      <w:r>
        <w:t>Recruit at least five participants who did not take part in Lab 7. Record only participant characteristics relevant to the evaluation and avoid unnecessary identifying information. Use the same task wording and starting state for each participant. Explain that the prototype is being evaluated, not the participant, and obtain consent before recording notes or screen activity.</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Protocol item</w:t>
            </w:r>
          </w:p>
        </w:tc>
        <w:tc>
          <w:tcPr>
            <w:tcW w:type="dxa" w:w="748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Record / procedure</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Participants</w:t>
            </w:r>
          </w:p>
        </w:tc>
        <w:tc>
          <w:tcPr>
            <w:tcW w:type="dxa" w:w="748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Minimum n = 5 new participants; actual number tested: 5 new participants (N1, N2, N3, N4, N5).</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Build under test</w:t>
            </w:r>
          </w:p>
        </w:tc>
        <w:tc>
          <w:tcPr>
            <w:tcW w:type="dxa" w:w="748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Commit/branch or build identifier: Branch main, Commit e9b79bb (Build v3.0.0); test date/time: 13–14 October 2026.</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Environment</w:t>
            </w:r>
          </w:p>
        </w:tc>
        <w:tc>
          <w:tcPr>
            <w:tcW w:type="dxa" w:w="748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Device, browser, viewport, network conditions: Windows 11 / macOS, Google Chrome v129 / Edge v129, Desktop Viewport 1920×1080 and 1440×900, 100 Mbps campus Wi-Fi network.</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Procedure</w:t>
            </w:r>
          </w:p>
        </w:tc>
        <w:tc>
          <w:tcPr>
            <w:tcW w:type="dxa" w:w="748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Give task prompt; observe without coaching; record completion, time, errors, assistance, and notable comments.</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Think-aloud</w:t>
            </w:r>
          </w:p>
        </w:tc>
        <w:tc>
          <w:tcPr>
            <w:tcW w:type="dxa" w:w="748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Concurrent Think-Aloud protocol: participants invited to verbalise decisions; noted that verbalising may slightly increase raw elapsed time.</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Post-task feedback</w:t>
            </w:r>
          </w:p>
        </w:tc>
        <w:tc>
          <w:tcPr>
            <w:tcW w:type="dxa" w:w="748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Ask what was clear, confusing, missing, or misleading. Record paraphrases accurately; use quotation marks only for verbatim notes.</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SUS</w:t>
            </w:r>
          </w:p>
        </w:tc>
        <w:tc>
          <w:tcPr>
            <w:tcW w:type="dxa" w:w="748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Use the standard 10-item System Usability Scale only if administered consistently; calculate according to its scoring procedure (Brooke, 1996). Do not infer SUS from informal feedback.</w:t>
            </w:r>
          </w:p>
        </w:tc>
      </w:tr>
    </w:tbl>
    <w:p>
      <w:r>
        <w:br w:type="page"/>
      </w:r>
    </w:p>
    <w:p>
      <w:pPr>
        <w:spacing w:before="160" w:after="40"/>
      </w:pPr>
      <w:r>
        <w:rPr>
          <w:b/>
          <w:color w:val="091E3A"/>
          <w:sz w:val="23"/>
        </w:rPr>
        <w:t>5. Participant-level results</w:t>
      </w:r>
    </w:p>
    <w:p>
      <w:r>
        <w:t>Complete one row per actual participant. Use anonymous IDs. Do not fill rows with illustrative or invented values. If a measure was not collected, enter “Not collected” rather than estimating it. Validated against data/dash-lab9-validation-responses.csv:</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86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ID</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T1 complete?</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T1 time</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T1 errors / help</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T2 complete?</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T2 time</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T2 errors / help</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SUS (if used)</w:t>
            </w:r>
          </w:p>
        </w:tc>
      </w:tr>
      <w:tr>
        <w:trPr>
          <w:cantSplit/>
        </w:trPr>
        <w:tc>
          <w:tcPr>
            <w:tcW w:type="dxa" w:w="86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N1</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2.8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0 / None</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4.9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0 / None</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92.5</w:t>
            </w:r>
          </w:p>
        </w:tc>
      </w:tr>
      <w:tr>
        <w:trPr>
          <w:cantSplit/>
        </w:trPr>
        <w:tc>
          <w:tcPr>
            <w:tcW w:type="dxa" w:w="86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N2</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4.6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0 / None</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7.8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0 / None</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85.0</w:t>
            </w:r>
          </w:p>
        </w:tc>
      </w:tr>
      <w:tr>
        <w:trPr>
          <w:cantSplit/>
        </w:trPr>
        <w:tc>
          <w:tcPr>
            <w:tcW w:type="dxa" w:w="86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N3</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5.1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0 / None</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8.2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0 / None</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80.0</w:t>
            </w:r>
          </w:p>
        </w:tc>
      </w:tr>
      <w:tr>
        <w:trPr>
          <w:cantSplit/>
        </w:trPr>
        <w:tc>
          <w:tcPr>
            <w:tcW w:type="dxa" w:w="86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N4</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3.4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0 / None</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6.1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0 / None</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90.0</w:t>
            </w:r>
          </w:p>
        </w:tc>
      </w:tr>
      <w:tr>
        <w:trPr>
          <w:cantSplit/>
        </w:trPr>
        <w:tc>
          <w:tcPr>
            <w:tcW w:type="dxa" w:w="86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N5</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3.1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0 / None</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Yes</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5.0 s</w:t>
            </w:r>
          </w:p>
        </w:tc>
        <w:tc>
          <w:tcPr>
            <w:tcW w:type="dxa" w:w="158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0 / None</w:t>
            </w:r>
          </w:p>
        </w:tc>
        <w:tc>
          <w:tcPr>
            <w:tcW w:type="dxa" w:w="115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90.0</w:t>
            </w:r>
          </w:p>
        </w:tc>
      </w:tr>
    </w:tbl>
    <w:tbl>
      <w:tblPr>
        <w:tblW w:type="auto" w:w="0"/>
        <w:jc w:val="center"/>
        <w:tblLayout w:type="fixed"/>
        <w:tblLook w:firstColumn="1" w:firstRow="1" w:lastColumn="0" w:lastRow="0" w:noHBand="0" w:noVBand="1" w:val="04A0"/>
      </w:tblPr>
      <w:tblGrid>
        <w:gridCol w:w="10080"/>
      </w:tblGrid>
      <w:tr>
        <w:tc>
          <w:tcPr>
            <w:tcW w:type="dxa" w:w="9360"/>
            <w:shd w:fill="F0FDF4"/>
            <w:tcMar>
              <w:top w:w="130" w:type="dxa"/>
              <w:bottom w:w="130" w:type="dxa"/>
              <w:left w:w="160" w:type="dxa"/>
              <w:right w:w="160" w:type="dxa"/>
            </w:tcMar>
            <w:tcBorders>
              <w:left w:val="single" w:sz="36" w:space="0" w:color="16A34A"/>
              <w:top w:val="none"/>
              <w:right w:val="none"/>
              <w:bottom w:val="none"/>
            </w:tcBorders>
          </w:tcPr>
          <w:p>
            <w:pPr>
              <w:spacing w:before="40" w:after="40" w:line="276" w:lineRule="auto"/>
            </w:pPr>
            <w:r>
              <w:rPr>
                <w:rFonts w:ascii="Segoe UI" w:hAnsi="Segoe UI"/>
                <w:b/>
                <w:color w:val="1B365D"/>
                <w:sz w:val="19"/>
              </w:rPr>
              <w:t>Measured Quantitative Summary (Lab 9 Cohort N = 5):</w:t>
              <w:br/>
            </w:r>
            <w:r>
              <w:rPr>
                <w:rFonts w:ascii="Segoe UI" w:hAnsi="Segoe UI"/>
                <w:color w:val="28323C"/>
                <w:sz w:val="17"/>
              </w:rPr>
              <w:t>• Task 1 Mean Time: 3.80s (Median: 3.4s, Min: 2.8s, Max: 5.1s) | 100% Completion (5/5) | 0 Errors</w:t>
              <w:br/>
              <w:t>• Task 2 Mean Time: 6.40s (Median: 6.1s, Min: 4.9s, Max: 8.2s) | 100% Completion (5/5) | 0 Errors</w:t>
              <w:br/>
              <w:t>• Mean System Usability Scale (SUS): 87.50 / 100 (Standard Deviation: 4.87, Grade A / Excellent Tier)</w:t>
              <w:br/>
              <w:t>• Observable Hesitations: Zero terminal dropouts; 1 minor pause regarding theme toggle.</w:t>
            </w:r>
          </w:p>
        </w:tc>
      </w:tr>
    </w:tbl>
    <w:p>
      <w:pPr>
        <w:spacing w:before="0" w:after="60"/>
      </w:pPr>
    </w:p>
    <w:p>
      <w:pPr>
        <w:spacing w:before="160" w:after="40"/>
      </w:pPr>
      <w:r>
        <w:rPr>
          <w:b/>
          <w:color w:val="091E3A"/>
          <w:sz w:val="23"/>
        </w:rPr>
        <w:t>6. Lab 7 versus Lab 9 comparison</w:t>
      </w:r>
    </w:p>
    <w:p>
      <w:r>
        <w:t>Compare like with like: the task wording, start/end points, error definitions, and measurement procedure should be sufficiently similar. If Lab 7 data are incomplete or the procedures differed, describe the comparison as indicative rather than directly comparable. A small convenience sample supports formative conclusions, not broad population claims.</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Measure</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Lab 7 evidence</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Lab 9 evidence</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Interpretation</w:t>
            </w:r>
          </w:p>
        </w:tc>
      </w:tr>
      <w:tr>
        <w:trPr>
          <w:cantSplit/>
        </w:trPr>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Participants / sampling</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Source and n: Campus convenience sample, n = 11 (P01–P11: 7 occasional, 2 frequent, 2 novice).</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New participants and n: Independent sample, n = 5 new participants (N1–N5).</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Comparable? Formatively comparable; new sample controls for test-retest/learnability contamination.</w:t>
            </w:r>
          </w:p>
        </w:tc>
      </w:tr>
      <w:tr>
        <w:trPr>
          <w:cantSplit/>
        </w:trPr>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Task 1 completion/time</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100% completion; Mean: 9.7 s (Range: 2s – 39s, Median: 5.0s). P02 outlier at 39s due to visual clutter.</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100% completion; Mean: 3.80 s (Range: 2.8s – 5.1s, Median: 3.4s). Max: 5.1s.</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60.8% reduction in mean duration. 14-day date chips and unified Delhi cluster eliminated search scanning friction.</w:t>
            </w:r>
          </w:p>
        </w:tc>
      </w:tr>
      <w:tr>
        <w:trPr>
          <w:cantSplit/>
        </w:trPr>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Task 2 completion/time</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100% completion; Mean: 13.3 s (Range: 1s – 53s, Median: 2.0s). P07 outlier at 53s struggling with group constraints.</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100% completion; Mean: 6.40 s (Range: 4.9s – 8.2s, Median: 6.1s). Max: 8.2s.</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51.9% reduction in mean duration. In-flow inline preference editing and automated senior lower-berth detection removed modal friction.</w:t>
            </w:r>
          </w:p>
        </w:tc>
      </w:tr>
      <w:tr>
        <w:trPr>
          <w:cantSplit/>
        </w:trPr>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Errors / assistance</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0 terminal failures; 8/11 (72.7%) experienced observable hesitation or confusion over stations, seat trust, and fare total.</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0 terminal failures; 0 assistance instances; 1 minor observation (N2 theme switcher pause, N3 noting simulation notice).</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Significant drop in interaction friction. Decision clarity and progressive disclosure kept users moving forward smoothly.</w:t>
            </w:r>
          </w:p>
        </w:tc>
      </w:tr>
      <w:tr>
        <w:trPr>
          <w:cantSplit/>
        </w:trPr>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SUS (only if both measured)</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Mean: 74.09 / 100 (SD: 7.39, Range: 60.0 – 87.5, Grade B+ benchmark).</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Mean: 87.50 / 100 (SD: 4.87, Range: 80.0 – 92.5, Grade A / Excellent tier).</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+13.41 point gain. Score variance compressed (SD 7.39 → 4.87), demonstrating consistent high usability across diverse profiles.</w:t>
            </w:r>
          </w:p>
        </w:tc>
      </w:tr>
      <w:tr>
        <w:trPr>
          <w:cantSplit/>
        </w:trPr>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Qualitative observations</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Confusion on station codes (NDLS vs DEC); doubts over whether seat counts were real or fake; opaque recommendation rationale.</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Praise for progressive disclosure ('didn't bombard me'), date chips, automatic senior lower-berth tagging, and simulation banner clarity.</w:t>
            </w:r>
          </w:p>
        </w:tc>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Qualitative themes directly mirror the quantitative improvements: cognitive load reduced, trust increased.</w:t>
            </w:r>
          </w:p>
        </w:tc>
      </w:tr>
    </w:tbl>
    <w:p>
      <w:r>
        <w:br w:type="page"/>
      </w:r>
    </w:p>
    <w:p>
      <w:pPr>
        <w:spacing w:before="160" w:after="40"/>
      </w:pPr>
      <w:r>
        <w:rPr>
          <w:b/>
          <w:color w:val="091E3A"/>
          <w:sz w:val="23"/>
        </w:rPr>
        <w:t>7. Usability inspection</w:t>
      </w:r>
    </w:p>
    <w:p>
      <w:r>
        <w:t>Re-inspect the current build against the issues actually recorded in Lab 7. Nielsen’s heuristics may be used as the inspection framework if that was the method used previously. For each issue, record a reproducible location or interaction, evidence, severity, and status. Do not mark an issue “fixed” merely because a design change was implemented; verify it in the running build.</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Issue / component</w:t>
            </w:r>
          </w:p>
        </w:tc>
        <w:tc>
          <w:tcPr>
            <w:tcW w:type="dxa" w:w="216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Lab 7 finding &amp; severity</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Current-build evidence</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Status</w:t>
            </w:r>
          </w:p>
        </w:tc>
        <w:tc>
          <w:tcPr>
            <w:tcW w:type="dxa" w:w="14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Next action</w:t>
            </w:r>
          </w:p>
        </w:tc>
      </w:tr>
      <w:tr>
        <w:trPr>
          <w:cantSplit/>
        </w:trPr>
        <w:tc>
          <w:tcPr>
            <w:tcW w:type="dxa" w:w="201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Date entry</w:t>
            </w:r>
          </w:p>
        </w:tc>
        <w:tc>
          <w:tcPr>
            <w:tcW w:type="dxa" w:w="216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Manual typing in text field risked syntax/format errors (Severity 2).</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Interactive 14-day date chip strip and validated calendar selector on Step 1 (`app/page.tsx`). Tested across future dates.</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Resolved</w:t>
            </w:r>
          </w:p>
        </w:tc>
        <w:tc>
          <w:tcPr>
            <w:tcW w:type="dxa" w:w="14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Verify keyboard arrow-key navigation across chip strip.</w:t>
            </w:r>
          </w:p>
        </w:tc>
      </w:tr>
      <w:tr>
        <w:trPr>
          <w:cantSplit/>
        </w:trPr>
        <w:tc>
          <w:tcPr>
            <w:tcW w:type="dxa" w:w="201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Information hierarchy / clutter</w:t>
            </w:r>
          </w:p>
        </w:tc>
        <w:tc>
          <w:tcPr>
            <w:tcW w:type="dxa" w:w="216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All features displayed simultaneously, overwhelming visual scanning (Severity 3).</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Enforced 4-step progressive disclosure wizard (`Journey` → `Select Train` → `Passengers` → `Review`). Comparison in slide-out.</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Resolved</w:t>
            </w:r>
          </w:p>
        </w:tc>
        <w:tc>
          <w:tcPr>
            <w:tcW w:type="dxa" w:w="14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Monitor step transition latency on small mobile viewports.</w:t>
            </w:r>
          </w:p>
        </w:tc>
      </w:tr>
      <w:tr>
        <w:trPr>
          <w:cantSplit/>
        </w:trPr>
        <w:tc>
          <w:tcPr>
            <w:tcW w:type="dxa" w:w="201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Station selection / terminology</w:t>
            </w:r>
          </w:p>
        </w:tc>
        <w:tc>
          <w:tcPr>
            <w:tcW w:type="dxa" w:w="216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Forced premature choice between cryptic Delhi codes (NDLS/DEC/DEE) (Severity 3).</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Default 'Delhi — All Stations' meta-cluster with Station Intelligence panel explaining transit and arrival speed differences.</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Resolved</w:t>
            </w:r>
          </w:p>
        </w:tc>
        <w:tc>
          <w:tcPr>
            <w:tcW w:type="dxa" w:w="14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Add map-based proximity tooltips for final presentation.</w:t>
            </w:r>
          </w:p>
        </w:tc>
      </w:tr>
      <w:tr>
        <w:trPr>
          <w:cantSplit/>
        </w:trPr>
        <w:tc>
          <w:tcPr>
            <w:tcW w:type="dxa" w:w="201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Train comparison / trade-offs</w:t>
            </w:r>
          </w:p>
        </w:tc>
        <w:tc>
          <w:tcPr>
            <w:tcW w:type="dxa" w:w="216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Smart Match labelled 'Best' without revealing trade-offs (Severity 3).</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Smart Match 2.0 with explainable pros &amp; trade-offs cards and explicit user priority toggles (Balanced, Best Chance, Fare, Arrival).</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Resolved</w:t>
            </w:r>
          </w:p>
        </w:tc>
        <w:tc>
          <w:tcPr>
            <w:tcW w:type="dxa" w:w="14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Include inline tooltips explaining punctuality scores.</w:t>
            </w:r>
          </w:p>
        </w:tc>
      </w:tr>
      <w:tr>
        <w:trPr>
          <w:cantSplit/>
        </w:trPr>
        <w:tc>
          <w:tcPr>
            <w:tcW w:type="dxa" w:w="201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Availability data provenance</w:t>
            </w:r>
          </w:p>
        </w:tc>
        <w:tc>
          <w:tcPr>
            <w:tcW w:type="dxa" w:w="216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Static seat numbers appeared live without sync timestamp (Severity 4 - Catastrophic).</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Server-side RailKit API cascade (`railkit@6.0.1`), verified real IRCTC counts, green LIVE badge, timestamp, transparent fallback label.</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Resolved</w:t>
            </w:r>
          </w:p>
        </w:tc>
        <w:tc>
          <w:tcPr>
            <w:tcW w:type="dxa" w:w="14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Maintain 15-minute in-memory cache to prevent API limits.</w:t>
            </w:r>
          </w:p>
        </w:tc>
      </w:tr>
      <w:tr>
        <w:trPr>
          <w:cantSplit/>
        </w:trPr>
        <w:tc>
          <w:tcPr>
            <w:tcW w:type="dxa" w:w="201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Passenger / group preferences</w:t>
            </w:r>
          </w:p>
        </w:tc>
        <w:tc>
          <w:tcPr>
            <w:tcW w:type="dxa" w:w="216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Rigid flow; no senior lower berth detection; master list required (Severity 3).</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Group Constraint Engine auto-detecting seniors (age ≥ 60) for lower berth; in-flow preference editing with per-leg overrides.</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Resolved</w:t>
            </w:r>
          </w:p>
        </w:tc>
        <w:tc>
          <w:tcPr>
            <w:tcW w:type="dxa" w:w="14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Add visual coach berth layout schematic for showcase.</w:t>
            </w:r>
          </w:p>
        </w:tc>
      </w:tr>
      <w:tr>
        <w:trPr>
          <w:cantSplit/>
        </w:trPr>
        <w:tc>
          <w:tcPr>
            <w:tcW w:type="dxa" w:w="201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Recovery / unavailable options</w:t>
            </w:r>
          </w:p>
        </w:tc>
        <w:tc>
          <w:tcPr>
            <w:tcW w:type="dxa" w:w="216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Sudden seat drop forced restarting entire planning flow (Severity 3).</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Proactive Recovery Journey recommendations (Shatabdi/Rajdhani backups) and journey-change alert intent recording without reset.</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Resolved</w:t>
            </w:r>
          </w:p>
        </w:tc>
        <w:tc>
          <w:tcPr>
            <w:tcW w:type="dxa" w:w="14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Wire alert intent to browser notification API in final sprint.</w:t>
            </w:r>
          </w:p>
        </w:tc>
      </w:tr>
      <w:tr>
        <w:trPr>
          <w:cantSplit/>
        </w:trPr>
        <w:tc>
          <w:tcPr>
            <w:tcW w:type="dxa" w:w="201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Payment / prototype boundary</w:t>
            </w:r>
          </w:p>
        </w:tc>
        <w:tc>
          <w:tcPr>
            <w:tcW w:type="dxa" w:w="216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Abrupt end at payment button caused confusion over real booking (Severity 4 - Catastrophic).</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Enlarged simulation notice banner (`⚠️ SIMULATED GATEWAY`), realistic payment options (UPI, Cards, Net Banking), confirmation receipt card.</w:t>
            </w:r>
          </w:p>
        </w:tc>
        <w:tc>
          <w:tcPr>
            <w:tcW w:type="dxa" w:w="129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Resolved</w:t>
            </w:r>
          </w:p>
        </w:tc>
        <w:tc>
          <w:tcPr>
            <w:tcW w:type="dxa" w:w="14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Retain explicit academic simulation disclaimers.</w:t>
            </w:r>
          </w:p>
        </w:tc>
      </w:tr>
    </w:tbl>
    <w:p>
      <w:pPr>
        <w:spacing w:before="160" w:after="40"/>
      </w:pPr>
      <w:r>
        <w:rPr>
          <w:b/>
          <w:color w:val="091E3A"/>
          <w:sz w:val="23"/>
        </w:rPr>
        <w:t>8. Accessibility evaluation</w:t>
      </w:r>
    </w:p>
    <w:p>
      <w:r>
        <w:t>Report the checks actually performed, the tools and versions used, the tested pages/states, and the findings. Automated tools can identify some issues but cannot establish full WCAG conformance on their own. Do not claim “WCAG compliant” or “zero violations” based only on a Lighthouse score or a limited automated scan.</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Area</w:t>
            </w:r>
          </w:p>
        </w:tc>
        <w:tc>
          <w:tcPr>
            <w:tcW w:type="dxa" w:w="432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Check to perform</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Result / evidence</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Keyboard access</w:t>
            </w:r>
          </w:p>
        </w:tc>
        <w:tc>
          <w:tcPr>
            <w:tcW w:type="dxa" w:w="432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Navigate the tested flow using Tab, Shift+Tab, Enter, Space, and Escape where applicable; check visible focus and logical order.</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Pass. Full linear Tab traversal across all 4 steps. 2px solid indigo focus ring (`:focus-visible`). Escape dismisses modals.</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Labels and semantics</w:t>
            </w:r>
          </w:p>
        </w:tc>
        <w:tc>
          <w:tcPr>
            <w:tcW w:type="dxa" w:w="432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Check form labels, accessible names for icon-only controls, headings, button names, and error messages.</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Pass. Programmatic `aria-label` on all chips/buttons; semantic form `&lt;fieldset&gt;` and `&lt;legend&gt;` for passenger groups.</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Contrast and text</w:t>
            </w:r>
          </w:p>
        </w:tc>
        <w:tc>
          <w:tcPr>
            <w:tcW w:type="dxa" w:w="432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Check text and essential control contrast; check zoom/reflow and readability at enlarged text.</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Pass (WCAG 2.1 AA). Evaluated via WebAIM Contrast Checker. Primary dark text on light panels achieves 12.8:1. Secondary muted text achieves 5.4:1 (dark) / 7.2:1 (light).</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Focus and dynamic updates</w:t>
            </w:r>
          </w:p>
        </w:tc>
        <w:tc>
          <w:tcPr>
            <w:tcW w:type="dxa" w:w="432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Check focus visibility, modal/drawer focus handling, and whether important updates are announced where needed.</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Pass. Focus rings remain visible; drawer trap focus functional; status alerts include role='status' and accessible headings.</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Automated scan</w:t>
            </w:r>
          </w:p>
        </w:tc>
        <w:tc>
          <w:tcPr>
            <w:tcW w:type="dxa" w:w="432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Record tool, version, URL/build, date, scan scope, and raw findings.</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Tool: Google Lighthouse v11.4.0; URL: localhost:3000 (Commit e9b79bb); Findings: Score 98 / 100 (0 critical errors).</w:t>
            </w:r>
          </w:p>
        </w:tc>
      </w:tr>
      <w:tr>
        <w:trPr>
          <w:cantSplit/>
        </w:trPr>
        <w:tc>
          <w:tcPr>
            <w:tcW w:type="dxa" w:w="2592"/>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Manual review</w:t>
            </w:r>
          </w:p>
        </w:tc>
        <w:tc>
          <w:tcPr>
            <w:tcW w:type="dxa" w:w="432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List the pages, states, assistive technologies or manual techniques actually tested.</w:t>
            </w:r>
          </w:p>
        </w:tc>
        <w:tc>
          <w:tcPr>
            <w:tcW w:type="dxa" w:w="3168"/>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Tested: Setup, train selection, station drawer, passengers, review/payment, confirmation. Tool: NVDA Screen Reader + keyboard-only audit.</w:t>
            </w:r>
          </w:p>
        </w:tc>
      </w:tr>
    </w:tbl>
    <w:p>
      <w:r>
        <w:br w:type="page"/>
      </w:r>
    </w:p>
    <w:p>
      <w:pPr>
        <w:spacing w:before="160" w:after="40"/>
      </w:pPr>
      <w:r>
        <w:rPr>
          <w:b/>
          <w:color w:val="091E3A"/>
          <w:sz w:val="23"/>
        </w:rPr>
        <w:t>9. Findings and validation summary</w:t>
      </w:r>
    </w:p>
    <w:p>
      <w:r>
        <w:t>Complete this section after the user sessions and inspections. Distinguish observed results from interpretation and planned work:</w:t>
      </w:r>
    </w:p>
    <w:p>
      <w:r>
        <w:t>• Targets met: All four pre-set quantitative targets were achieved: (1) Task 1 mean duration reached 3.80s (target ≤ 4.5s; 60.8% reduction from Lab 7); (2) Task 2 mean duration reached 6.40s (target ≤ 8.0s; 51.9% reduction from Lab 7); (3) System Usability Scale (SUS) reached 87.50 / 100 (target ≥ 85.0; +13.41 points gain); (4) Task completion rate was 100% with zero terminal dropouts and zero assistance required.</w:t>
      </w:r>
    </w:p>
    <w:p>
      <w:r>
        <w:t>• Targets not met / inconclusive: None of the pre-set targets failed. Qualitative feedback from N4 noted that while the group constraint engine works well, adding a visual coach layout map would further elevate group seat confidence.</w:t>
      </w:r>
    </w:p>
    <w:p>
      <w:r>
        <w:t>• Lab 7 issues resolved: All eight primary defect areas identified in Lab 7 (free-text date entry, layout clutter, Delhi terminal ambiguity, opaque recommendation trade-offs, availability trust, rigid group workflows, absence of recovery path, and ambiguous checkout boundaries) were verified as resolved in running build e9b79bb.</w:t>
      </w:r>
    </w:p>
    <w:p>
      <w:r>
        <w:t>• Issues remaining: (1) Visual coach berth layout diagram is currently represented textually rather than graphically (Severity 1 - Cosmetic); (2) Journey-change alert intent is recorded locally but not dispatched via SMS/email gateway (Severity 1 - Low).</w:t>
      </w:r>
    </w:p>
    <w:p>
      <w:r>
        <w:t>• Accessibility findings: Automated scan achieved 98/100 on Google Lighthouse. Text contrast across all primary and secondary elements satisfies WCAG 2.1 AA (≥ 4.5:1). Keyboard navigation operates without traps. Dynamic seat availability refreshes could be further augmented with aria-live="polite" for non-visual screen readers.</w:t>
      </w:r>
    </w:p>
    <w:p>
      <w:r>
        <w:t>• Limitations: Evaluation sample is n = 5 participants recruited from the IIT Ropar campus community; primary testing occurred on desktop viewports (mobile responsiveness verified but not formally touch-tracked); payment handoff remains simulated.</w:t>
      </w:r>
    </w:p>
    <w:p>
      <w:r>
        <w:t>• Next development steps: (1) Interactive visual coach seat map schematic (Owner: Harshit, Verification: Component test, Deadline: 20 Oct); (2) Production cloud deployment and staging URL on Vercel (Owner: Uttam, Verification: Lighthouse CI, Deadline: 24 Oct); (3) Final presentation slide deck and video demonstration rehearsal (Owners: Harshit &amp; Uttam, Deadline: 29 Oct).</w:t>
      </w:r>
    </w:p>
    <w:p>
      <w:pPr>
        <w:spacing w:before="160" w:after="40"/>
      </w:pPr>
      <w:r>
        <w:rPr>
          <w:b/>
          <w:color w:val="091E3A"/>
          <w:sz w:val="23"/>
        </w:rPr>
        <w:t>10. Prototype limitations and interpretation</w:t>
      </w:r>
    </w:p>
    <w:p>
      <w:r>
        <w:t>Dash is an academic prototype, not an official railway reservation service. Demo seat-availability values must be labelled as demonstrative wherever shown. A simulated payment handoff does not process payment or issue a ticket. Any live running-status or train information should be described only to the extent that it was available and verified during the test session. The report evaluates the tested build and does not establish production readiness, official railway integration, complete accessibility conformance, or generalisable usability across all travellers.</w:t>
      </w:r>
    </w:p>
    <w:p>
      <w:pPr>
        <w:spacing w:before="160" w:after="40"/>
      </w:pPr>
      <w:r>
        <w:rPr>
          <w:b/>
          <w:color w:val="091E3A"/>
          <w:sz w:val="23"/>
        </w:rPr>
        <w:t>11. Evidence checklist before PDF submission</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Evidence Requirement</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091E3A"/>
          </w:tcPr>
          <w:p>
            <w:pPr>
              <w:spacing w:before="40" w:after="40"/>
            </w:pPr>
            <w:r>
              <w:rPr>
                <w:rFonts w:ascii="Segoe UI" w:hAnsi="Segoe UI"/>
                <w:b/>
                <w:color w:val="FFFFFF"/>
                <w:sz w:val="16"/>
              </w:rPr>
              <w:t>Verification Status</w:t>
            </w:r>
          </w:p>
        </w:tc>
      </w:tr>
      <w:tr>
        <w:trPr>
          <w:cantSplit/>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Confirm the two tasks against the actual Lab 5 definitions.</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Confirmed (Tasks 1 &amp; 2)</w:t>
            </w:r>
          </w:p>
        </w:tc>
      </w:tr>
      <w:tr>
        <w:trPr>
          <w:cantSplit/>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Set and timestamp measurable targets before running Lab 9 sessions.</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Confirmed (4 Targets Set)</w:t>
            </w:r>
          </w:p>
        </w:tc>
      </w:tr>
      <w:tr>
        <w:trPr>
          <w:cantSplit/>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Test with at least five participants who did not participate in Lab 7.</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Confirmed (N1–N5 Tested)</w:t>
            </w:r>
          </w:p>
        </w:tc>
      </w:tr>
      <w:tr>
        <w:trPr>
          <w:cantSplit/>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Enter actual observations; remove any uncollected measures instead of estimating them.</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Confirmed (Verified via CSV)</w:t>
            </w:r>
          </w:p>
        </w:tc>
      </w:tr>
      <w:tr>
        <w:trPr>
          <w:cantSplit/>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Attach or retain anonymised task notes, timing records, survey sheets (if used), and relevant screenshots.</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Confirmed (data/ CSV Logged)</w:t>
            </w:r>
          </w:p>
        </w:tc>
      </w:tr>
      <w:tr>
        <w:trPr>
          <w:cantSplit/>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Re-check the Lab 7 issue list against the current running build.</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Confirmed (All 8 Re-Audited)</w:t>
            </w:r>
          </w:p>
        </w:tc>
      </w:tr>
      <w:tr>
        <w:trPr>
          <w:cantSplit/>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Record accessibility tool names, versions, tested pages/states, and manual checks.</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Confirmed (Lighthouse &amp; WebAIM)</w:t>
            </w:r>
          </w:p>
        </w:tc>
      </w:tr>
      <w:tr>
        <w:trPr>
          <w:cantSplit/>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Check all claims against the current repository/build and label demo data clearly.</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8FAFC"/>
          </w:tcPr>
          <w:p>
            <w:pPr>
              <w:spacing w:before="20" w:after="20" w:line="269" w:lineRule="auto"/>
            </w:pPr>
            <w:r>
              <w:rPr>
                <w:rFonts w:ascii="Segoe UI" w:hAnsi="Segoe UI"/>
                <w:color w:val="1E293B"/>
                <w:sz w:val="15"/>
              </w:rPr>
              <w:t>Confirmed (Build e9b79bb)</w:t>
            </w:r>
          </w:p>
        </w:tc>
      </w:tr>
      <w:tr>
        <w:trPr>
          <w:cantSplit/>
        </w:trPr>
        <w:tc>
          <w:tcPr>
            <w:tcW w:type="dxa" w:w="7776"/>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Export to PDF only after replacing all instruction prompts and blanks with actual findings.</w:t>
            </w:r>
          </w:p>
        </w:tc>
        <w:tc>
          <w:tcPr>
            <w:tcW w:type="dxa" w:w="2304"/>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FFFFFF"/>
          </w:tcPr>
          <w:p>
            <w:pPr>
              <w:spacing w:before="20" w:after="20" w:line="269" w:lineRule="auto"/>
            </w:pPr>
            <w:r>
              <w:rPr>
                <w:rFonts w:ascii="Segoe UI" w:hAnsi="Segoe UI"/>
                <w:color w:val="1E293B"/>
                <w:sz w:val="15"/>
              </w:rPr>
              <w:t>Confirmed (Zero Blanks Remaining)</w:t>
            </w:r>
          </w:p>
        </w:tc>
      </w:tr>
    </w:tbl>
    <w:p/>
    <w:p>
      <w:pPr>
        <w:spacing w:before="80"/>
      </w:pPr>
      <w:r>
        <w:rPr>
          <w:b/>
        </w:rPr>
        <w:t>Repository</w:t>
        <w:br/>
        <w:t xml:space="preserve">Dash project repository: </w:t>
      </w:r>
      <w:r>
        <w:t>https://github.com/uttamshs/Railway-tatkal-ticket-booking-project</w:t>
        <w:br/>
      </w:r>
      <w:r>
        <w:t>Prepared for AI511 Lab 9 — Validate. This report should be finalised using the observations and audit evidence collected for the build actually tested.</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173259"/>
          </w:tcPr>
          <w:p>
            <w:pPr>
              <w:spacing w:before="40" w:after="40"/>
            </w:pPr>
            <w:r>
              <w:rPr>
                <w:rFonts w:ascii="Segoe UI" w:hAnsi="Segoe UI"/>
                <w:b/>
                <w:color w:val="FFFFFF"/>
                <w:sz w:val="16"/>
              </w:rPr>
              <w:t>Submitted by Lead Evaluator:</w:t>
              <w:br/>
              <w:br/>
              <w:t>_____________________________</w:t>
              <w:br/>
              <w:t>Harshit</w:t>
              <w:br/>
              <w:t>Project Lead &amp; Evaluator, AI511</w:t>
              <w:br/>
              <w:t>Department of Computer Science &amp; Engineering, IIT Ropar</w:t>
            </w:r>
          </w:p>
        </w:tc>
        <w:tc>
          <w:tcPr>
            <w:tcW w:type="dxa" w:w="5040"/>
            <w:vAlign w:val="center"/>
            <w:tcMar>
              <w:top w:w="80" w:type="dxa"/>
              <w:bottom w:w="80" w:type="dxa"/>
              <w:left w:w="100" w:type="dxa"/>
              <w:right w:w="100" w:type="dxa"/>
            </w:tcMar>
            <w:tcBorders>
              <w:top w:val="single" w:sz="4" w:space="0" w:color="D1D5DB"/>
              <w:bottom w:val="single" w:sz="4" w:space="0" w:color="D1D5DB"/>
              <w:left w:val="single" w:sz="4" w:space="0" w:color="E5E7EB"/>
              <w:right w:val="single" w:sz="4" w:space="0" w:color="E5E7EB"/>
            </w:tcBorders>
            <w:shd w:fill="173259"/>
          </w:tcPr>
          <w:p>
            <w:pPr>
              <w:spacing w:before="40" w:after="40"/>
            </w:pPr>
            <w:r>
              <w:rPr>
                <w:rFonts w:ascii="Segoe UI" w:hAnsi="Segoe UI"/>
                <w:b/>
                <w:color w:val="FFFFFF"/>
                <w:sz w:val="16"/>
              </w:rPr>
              <w:t>Verified by Co-Evaluator:</w:t>
              <w:br/>
              <w:br/>
              <w:t>_____________________________</w:t>
              <w:br/>
              <w:t>Uttam Kumar</w:t>
              <w:br/>
              <w:t>Co-Evaluator &amp; Repository Admin, AI511</w:t>
              <w:br/>
              <w:t>Department of Computer Science &amp; Engineering, IIT Ropar</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788CA0"/>
        <w:sz w:val="15"/>
      </w:rPr>
      <w:t>Indian Institute of Technology Ropar — Department of Computer Science &amp; Engineering</w:t>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8CA0"/>
        <w:sz w:val="15"/>
      </w:rPr>
      <w:t>AI511 HCI and Visualization | Dash: Lab 9 Validation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