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GHOSTRAVEN Evidence Base: Audit and Selection</w:t>
      </w:r>
    </w:p>
    <w:p>
      <w:pPr>
        <w:spacing w:after="120"/>
      </w:pPr>
      <w:r>
        <w:t xml:space="preserve">Cross-check of the 26-reference bibliography (accessed 1 October 2026) against the GHOSTRAVEN design. Full papers are not reproduced; points are paraphrased and linked. Full text was read for #7 and #14; for #6, #8, #10, #12, #15 and #25 only abstracts, conclusions or search snippets were seen.</w:t>
      </w:r>
    </w:p>
    <w:p>
      <w:pPr>
        <w:pStyle w:val="Heading1"/>
      </w:pPr>
      <w:r>
        <w:t xml:space="preserve">1. Citation problems</w:t>
      </w:r>
    </w:p>
    <w:p>
      <w:pPr>
        <w:spacing w:after="120"/>
      </w:pPr>
      <w:r>
        <w:t xml:space="preserve">The links resolve to real papers, but the listed authors or titles are wrong for 9 of the entries I opened. Fix these before a judge clicks through.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492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Listed as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Actually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Bialas et al.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Näther, Herzinger, Gazdag, Steghöfer, Daum, Loebenberger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Rohde et al.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Cho, Lee, Kim, Lee, Cho (Samsung SDS)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"Formalizing the Cryptographic Migration Problem," Kraus et al.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"On the Formalization of Cryptographic Migration," Loebenberger, Hirsch, Gazdag, Herzinger, Näther, Steghöfer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Klein et al.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Allan D. B. Costa (sole author)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Rana et al.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Wickramasinghe, Li, Jha, Shaghaghi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"…Automated Configuration Parsing…," Alvarez et al.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"…Automated Configuration Profiling and Hybrid PQC Deployment in Financial Infrastructure," Balaji et al.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Kumar et al.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Sorger (KTH)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Khan et al.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Pallarés de Bonrostro, González-Tablas, González Vasco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Liao et al.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Safronov, McCaigue, Allott, Martin (Oxford)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Correct as listed:</w:t>
      </w:r>
      <w:r>
        <w:t xml:space="preserve"> #6 (Ott, Peikert et al.) and #16 (Koisser first author; full title "V'CER: Efficient Certificate Validation in Constrained Networks").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Exist, authors not confirmed:</w:t>
      </w:r>
      <w:r>
        <w:t xml:space="preserve"> #9 and #11.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 opened this session:</w:t>
      </w:r>
      <w:r>
        <w:t xml:space="preserve"> #1–5, #13, #17, #19–24. Comments on #13 and #19–24 come from titles only.</w:t>
      </w:r>
    </w:p>
    <w:p>
      <w:pPr>
        <w:pStyle w:val="Heading1"/>
      </w:pPr>
      <w:r>
        <w:t xml:space="preserve">2. Best proof papers</w:t>
      </w:r>
    </w:p>
    <w:p>
      <w:pPr>
        <w:pStyle w:val="Heading2"/>
      </w:pPr>
      <w:r>
        <w:t xml:space="preserve">Tier 1</w:t>
      </w:r>
    </w:p>
    <w:p>
      <w:pPr>
        <w:spacing w:after="120"/>
      </w:pPr>
      <w:r>
        <w:rPr>
          <w:b/>
          <w:bCs/>
        </w:rPr>
        <w:t xml:space="preserve">#14, Wickramasinghe et al. (gateway)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Scan of about 2 billion handshakes: deployment converged on hybrid X25519MLKEM768 with no meaningful latency penalty.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Hybrid adds roughly 1,176 bytes client→server and 1,088 bytes server→client.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93.92% of PQ-TLS deployments were provider-managed; only 4.58% owner-managed. No PQ signatures were observed. PQ-enabled domains often kept legacy TLS versions and ciphers.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Supports: owners do not migrate themselves and legacy configurations persist (the Exoskeleton premise), plus the key-exchange-first, ECDSA-auth posture.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Caveat: public HTTPS only, from cloud vantage points, not internal legacy networks.</w:t>
      </w:r>
    </w:p>
    <w:p>
      <w:pPr>
        <w:spacing w:after="120"/>
      </w:pPr>
      <w:r>
        <w:rPr>
          <w:b/>
          <w:bCs/>
        </w:rPr>
        <w:t xml:space="preserve">#15, Balaji et al. (gateway and passport discovery)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TLS termination is spread across load balancers, API gateways, reverse proxies and web servers, each a migration target.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 parsing builds a provenance-traced inventory. Across 8,443 Nginx configs: zero hybrid PQ adoption, 28.9% RSA key exchange with no forward secrecy, 21.8% still allowing TLS 1.0/1.1.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Bank proof of concept: ML-KEM-512 and X25519MLKEM768 added at the termination layer with zero application changes and manageable overhead; start at the outer layer and work inward.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Closest match to your gateway and discovery modules. Caveat: preprint.</w:t>
      </w:r>
    </w:p>
    <w:p>
      <w:pPr>
        <w:spacing w:after="120"/>
      </w:pPr>
      <w:r>
        <w:rPr>
          <w:b/>
          <w:bCs/>
        </w:rPr>
        <w:t xml:space="preserve">#12, Costa (passport scoring)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Five-dimension readiness score (inventory completeness, algorithm compliance, architectural decoupling, toolchain readiness, governance); weights from a 12-engineer Delphi round; tested on 43 repos.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PQC reference implementations score "At-Risk" because architectural decoupling is near zero. Hybrid TLS overhead about 1.29 ms in the author's own measurements.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 multi-factor scoring beyond algorithm presence. Caveat: the author says predictive validation is future work; cite it as supporting the premise, not validating your formula.</w:t>
      </w:r>
    </w:p>
    <w:p>
      <w:pPr>
        <w:spacing w:after="120"/>
      </w:pPr>
      <w:r>
        <w:rPr>
          <w:b/>
          <w:bCs/>
        </w:rPr>
        <w:t xml:space="preserve">#7, Näther et al. (passports, governance, gateway)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 phases (Diagnosis, Plan, Execution, Maintenance); steps: asset identification, risk assessment, cryptographic identification and assessment, prioritization, migration plan.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Finds the cryptographic inventory concept ill-defined, a gap your Passport Engine fills.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ETSI advice to isolate hard-to-migrate assets supports the gateway; two sources raise downgrade attacks as a concern.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Stresses budgeting maintenance and tracking migration impact, supporting tickets, retests, retirement clocks and residual risk.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Caveat: only 10 of its 21 papers describe actual migrations.</w:t>
      </w:r>
    </w:p>
    <w:p>
      <w:pPr>
        <w:spacing w:after="120"/>
      </w:pPr>
      <w:r>
        <w:rPr>
          <w:b/>
          <w:bCs/>
        </w:rPr>
        <w:t xml:space="preserve">#10, Loebenberger et al. (blast radius, upgrade difficulty)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Models migration as a dependency graph with "migration clusters" that must move together; argues this blocks parallel migration. Only the abstract and summaries were read.</w:t>
      </w:r>
    </w:p>
    <w:p>
      <w:pPr>
        <w:spacing w:after="120"/>
      </w:pPr>
      <w:r>
        <w:rPr>
          <w:b/>
          <w:bCs/>
        </w:rPr>
        <w:t xml:space="preserve">#8, Cho et al. (governance)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Argues for centralized cryptographic governance with automated policy enforcement; ePrint version draws on zero-trust design. Preprint.</w:t>
      </w:r>
    </w:p>
    <w:p>
      <w:pPr>
        <w:pStyle w:val="Heading2"/>
      </w:pPr>
      <w:r>
        <w:t xml:space="preserve">Tier 2 (supporting)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#6:</w:t>
      </w:r>
      <w:r>
        <w:t xml:space="preserve"> motivates crypto-agility research; a workshop report.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#9:</w:t>
      </w:r>
      <w:r>
        <w:t xml:space="preserve"> four-layer agility model, validated in software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#17 (in-toto):</w:t>
      </w:r>
      <w:r>
        <w:t xml:space="preserve"> plausible support for signed provenance and receipts; not opened.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#25:</w:t>
      </w:r>
      <w:r>
        <w:t xml:space="preserve"> fine-tuned model reached 92.5% functional correctness on 800 Python fragments (seen only on a news site; verify on arXiv). Supports verifying AI-assisted migration deterministically.</w:t>
      </w:r>
    </w:p>
    <w:p>
      <w:pPr>
        <w:pStyle w:val="Heading2"/>
      </w:pPr>
      <w:r>
        <w:t xml:space="preserve">Drop or downplay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#11:</w:t>
      </w:r>
      <w:r>
        <w:t xml:space="preserve"> healthcare IoT.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#13:</w:t>
      </w:r>
      <w:r>
        <w:t xml:space="preserve"> code-based crypto, not ML-KEM.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#16:</w:t>
      </w:r>
      <w:r>
        <w:t xml:space="preserve"> sparse Merkle trees for constrained networks; tangential to your ledger.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#18, #26:</w:t>
      </w:r>
      <w:r>
        <w:t xml:space="preserve"> SBOM/AI-BOM provenance, weak fit. </w:t>
      </w:r>
      <w:r>
        <w:rPr>
          <w:b/>
          <w:bCs/>
        </w:rPr>
        <w:t xml:space="preserve">#19:</w:t>
      </w:r>
      <w:r>
        <w:t xml:space="preserve"> generic SBOM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#20–24:</w:t>
      </w:r>
      <w:r>
        <w:t xml:space="preserve"> judging from titles, digital twins of cyber-physical systems, whereas your twins are synthetic data matched to statistical properties. Judges may flag the terminology mismatch.</w:t>
      </w:r>
    </w:p>
    <w:p>
      <w:pPr>
        <w:pStyle w:val="Heading1"/>
      </w:pPr>
      <w:r>
        <w:t xml:space="preserve">3. What the list does not prove</w:t>
      </w:r>
    </w:p>
    <w:p>
      <w:pPr>
        <w:spacing w:after="120"/>
      </w:pPr>
      <w:r>
        <w:t xml:space="preserve">Nothing here supports the novel parts: the recovery frontier with positive/negative controls and canaries, the Merkle ledger with PQC-signed receipts, or honeytoken tripwires. Candidates to verify yourself (suggested from memory, not verified this session):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Mosca 2018 on the urgency inequality (appears in #14's reference list).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Koisser and Sadeghi, "Accountability of Things" (CoRR 2308.05557, seen in DBLP).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Crosby and Wallach on tamper-evident logging; Certificate Transparency (RFC 9162); Sigstore/Rekor.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 Darmstadt lattice challenges for reduced-parameter benchmarking.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Honeywords and honeypot literature.</w:t>
      </w:r>
    </w:p>
    <w:p>
      <w:pPr>
        <w:spacing w:after="120"/>
      </w:pPr>
      <w:r>
        <w:rPr>
          <w:b/>
          <w:bCs/>
        </w:rPr>
        <w:t xml:space="preserve">Correction to the architecture document:</w:t>
      </w:r>
      <w:r>
        <w:t xml:space="preserve"> #14 found ClientHello size-related failures were below 0.16% of handshake-phase failures. Reassembly is still needed, but middlebox breakage looks rare on the public web, so soften that claim.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2026-09-30T20:55:05.748Z</dcterms:created>
  <dcterms:modified xsi:type="dcterms:W3CDTF">2026-09-30T20:55:05.754Z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