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CE3A" w14:textId="77777777" w:rsidR="00A30976" w:rsidRDefault="00762A15">
      <w:pPr>
        <w:pStyle w:val="Title"/>
      </w:pPr>
      <w:r>
        <w:t>GHOSTRAVEN Evidence Base: Audit and Selection</w:t>
      </w:r>
    </w:p>
    <w:p w14:paraId="641FCE6A" w14:textId="4843AD22" w:rsidR="00A30976" w:rsidRDefault="00762A15">
      <w:pPr>
        <w:pStyle w:val="Heading1"/>
      </w:pPr>
      <w:r>
        <w:t xml:space="preserve"> Best proof papers</w:t>
      </w:r>
    </w:p>
    <w:p w14:paraId="641FCE6B" w14:textId="77777777" w:rsidR="00A30976" w:rsidRDefault="00762A15">
      <w:pPr>
        <w:pStyle w:val="Heading2"/>
      </w:pPr>
      <w:r>
        <w:t>Tier 1</w:t>
      </w:r>
    </w:p>
    <w:p w14:paraId="641FCE6C" w14:textId="77777777" w:rsidR="00A30976" w:rsidRDefault="00762A15">
      <w:pPr>
        <w:spacing w:after="120"/>
      </w:pPr>
      <w:r>
        <w:rPr>
          <w:b/>
          <w:bCs/>
        </w:rPr>
        <w:t>#14, Wickramasinghe et al. (gateway)</w:t>
      </w:r>
    </w:p>
    <w:p w14:paraId="641FCE6D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Scan of about 2 billion handshakes: deployment converged on hybrid X25519MLKEM768 with no meaningful latency penalty.</w:t>
      </w:r>
    </w:p>
    <w:p w14:paraId="641FCE6E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 xml:space="preserve">Hybrid adds roughly 1,176 bytes </w:t>
      </w:r>
      <w:proofErr w:type="spellStart"/>
      <w:r>
        <w:t>client→server</w:t>
      </w:r>
      <w:proofErr w:type="spellEnd"/>
      <w:r>
        <w:t xml:space="preserve"> and 1,088 bytes </w:t>
      </w:r>
      <w:proofErr w:type="spellStart"/>
      <w:r>
        <w:t>server→client</w:t>
      </w:r>
      <w:proofErr w:type="spellEnd"/>
      <w:r>
        <w:t>.</w:t>
      </w:r>
    </w:p>
    <w:p w14:paraId="641FCE6F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93.92% of PQ-TLS deployments were provider-managed; only 4.58% owner-managed. No PQ signatures were observed. PQ-enabled domains often kept legacy TLS versions and ciphers.</w:t>
      </w:r>
    </w:p>
    <w:p w14:paraId="641FCE70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Supports: owners do not migrate themselves and legacy configurations persist (the Exoskeleton premise), plus the key-exchange-first, ECDSA-auth posture.</w:t>
      </w:r>
    </w:p>
    <w:p w14:paraId="641FCE71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Caveat: public HTTPS only, from cloud vantage points, not internal legacy networks.</w:t>
      </w:r>
    </w:p>
    <w:p w14:paraId="641FCE72" w14:textId="77777777" w:rsidR="00A30976" w:rsidRDefault="00762A15">
      <w:pPr>
        <w:spacing w:after="120"/>
      </w:pPr>
      <w:r>
        <w:rPr>
          <w:b/>
          <w:bCs/>
        </w:rPr>
        <w:t>#15, Balaji et al. (gateway and passport discovery)</w:t>
      </w:r>
    </w:p>
    <w:p w14:paraId="641FCE73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TLS termination is spread across load balancers, API gateways, reverse proxies and web servers, each a migration target.</w:t>
      </w:r>
    </w:p>
    <w:p w14:paraId="641FCE74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Config parsing builds a provenance-traced inventory. Across 8,443 Nginx configs: zero hybrid PQ adoption, 28.9% RSA key exchange with no forward secrecy, 21.8% still allowing TLS 1.0/1.1.</w:t>
      </w:r>
    </w:p>
    <w:p w14:paraId="641FCE75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Bank proof of concept: ML-KEM-512 and X25519MLKEM768 added at the termination layer with zero application changes and manageable overhead; start at the outer layer and work inward.</w:t>
      </w:r>
    </w:p>
    <w:p w14:paraId="641FCE76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Closest match to your gateway and discovery modules. Caveat: preprint.</w:t>
      </w:r>
    </w:p>
    <w:p w14:paraId="641FCE77" w14:textId="77777777" w:rsidR="00A30976" w:rsidRDefault="00762A15">
      <w:pPr>
        <w:spacing w:after="120"/>
      </w:pPr>
      <w:r>
        <w:rPr>
          <w:b/>
          <w:bCs/>
        </w:rPr>
        <w:t>#12, Costa (passport scoring)</w:t>
      </w:r>
    </w:p>
    <w:p w14:paraId="641FCE78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Five-dimension readiness score (inventory completeness, algorithm compliance, architectural decoupling, toolchain readiness, governance); weights from a 12-engineer Delphi round; tested on 43 repos.</w:t>
      </w:r>
    </w:p>
    <w:p w14:paraId="641FCE79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 xml:space="preserve">PQC reference implementations score "At-Risk" because architectural decoupling is near zero. Hybrid TLS overhead about 1.29 </w:t>
      </w:r>
      <w:proofErr w:type="spellStart"/>
      <w:r>
        <w:t>ms</w:t>
      </w:r>
      <w:proofErr w:type="spellEnd"/>
      <w:r>
        <w:t xml:space="preserve"> in the author's own measurements.</w:t>
      </w:r>
    </w:p>
    <w:p w14:paraId="641FCE7A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Supports multi-factor scoring beyond algorithm presence. Caveat: the author says predictive validation is future work; cite it as supporting the premise, not validating your formula.</w:t>
      </w:r>
    </w:p>
    <w:p w14:paraId="641FCE7B" w14:textId="77777777" w:rsidR="00A30976" w:rsidRDefault="00762A15">
      <w:pPr>
        <w:spacing w:after="120"/>
      </w:pPr>
      <w:r>
        <w:rPr>
          <w:b/>
          <w:bCs/>
        </w:rPr>
        <w:t xml:space="preserve">#7, </w:t>
      </w:r>
      <w:proofErr w:type="spellStart"/>
      <w:r>
        <w:rPr>
          <w:b/>
          <w:bCs/>
        </w:rPr>
        <w:t>Näther</w:t>
      </w:r>
      <w:proofErr w:type="spellEnd"/>
      <w:r>
        <w:rPr>
          <w:b/>
          <w:bCs/>
        </w:rPr>
        <w:t xml:space="preserve"> et al. (passports, governance, gateway)</w:t>
      </w:r>
    </w:p>
    <w:p w14:paraId="641FCE7C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Four phases (Diagnosis, Plan, Execution, Maintenance); steps: asset identification, risk assessment, cryptographic identification and assessment, prioritization, migration plan.</w:t>
      </w:r>
    </w:p>
    <w:p w14:paraId="641FCE7D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Finds the cryptographic inventory concept ill-defined, a gap your Passport Engine fills.</w:t>
      </w:r>
    </w:p>
    <w:p w14:paraId="641FCE7E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ETSI advice to isolate hard-to-migrate assets supports the gateway; two sources raise downgrade attacks as a concern.</w:t>
      </w:r>
    </w:p>
    <w:p w14:paraId="641FCE7F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Stresses budgeting maintenance and tracking migration impact, supporting tickets, retests, retirement clocks and residual risk.</w:t>
      </w:r>
    </w:p>
    <w:p w14:paraId="641FCE80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Caveat: only 10 of its 21 papers describe actual migrations.</w:t>
      </w:r>
    </w:p>
    <w:p w14:paraId="641FCE81" w14:textId="77777777" w:rsidR="00A30976" w:rsidRDefault="00762A15">
      <w:pPr>
        <w:spacing w:after="120"/>
      </w:pPr>
      <w:r>
        <w:rPr>
          <w:b/>
          <w:bCs/>
        </w:rPr>
        <w:t xml:space="preserve">#10, </w:t>
      </w:r>
      <w:proofErr w:type="spellStart"/>
      <w:r>
        <w:rPr>
          <w:b/>
          <w:bCs/>
        </w:rPr>
        <w:t>Loebenberger</w:t>
      </w:r>
      <w:proofErr w:type="spellEnd"/>
      <w:r>
        <w:rPr>
          <w:b/>
          <w:bCs/>
        </w:rPr>
        <w:t xml:space="preserve"> et al. (blast radius, upgrade difficulty)</w:t>
      </w:r>
    </w:p>
    <w:p w14:paraId="641FCE82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Models migration as a dependency graph with "migration clusters" that must move together; argues this blocks parallel migration. Only the abstract and summaries were read.</w:t>
      </w:r>
    </w:p>
    <w:p w14:paraId="641FCE83" w14:textId="77777777" w:rsidR="00A30976" w:rsidRDefault="00762A15">
      <w:pPr>
        <w:spacing w:after="120"/>
      </w:pPr>
      <w:r>
        <w:rPr>
          <w:b/>
          <w:bCs/>
        </w:rPr>
        <w:lastRenderedPageBreak/>
        <w:t>#8, Cho et al. (governance)</w:t>
      </w:r>
    </w:p>
    <w:p w14:paraId="641FCE84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 xml:space="preserve">Argues for centralized cryptographic governance with automated policy enforcement; </w:t>
      </w:r>
      <w:proofErr w:type="spellStart"/>
      <w:r>
        <w:t>ePrint</w:t>
      </w:r>
      <w:proofErr w:type="spellEnd"/>
      <w:r>
        <w:t xml:space="preserve"> version draws on zero-trust design. Preprint.</w:t>
      </w:r>
    </w:p>
    <w:p w14:paraId="641FCE85" w14:textId="77777777" w:rsidR="00A30976" w:rsidRDefault="00762A15">
      <w:pPr>
        <w:pStyle w:val="Heading2"/>
      </w:pPr>
      <w:r>
        <w:t>Tier 2 (supporting)</w:t>
      </w:r>
    </w:p>
    <w:p w14:paraId="641FCE86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#6:</w:t>
      </w:r>
      <w:r>
        <w:t xml:space="preserve"> motivates crypto-agility research; a workshop report.</w:t>
      </w:r>
    </w:p>
    <w:p w14:paraId="641FCE87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#9:</w:t>
      </w:r>
      <w:r>
        <w:t xml:space="preserve"> four-layer agility model, validated in software only.</w:t>
      </w:r>
    </w:p>
    <w:p w14:paraId="641FCE88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#17 (in-toto):</w:t>
      </w:r>
      <w:r>
        <w:t xml:space="preserve"> plausible support for signed provenance and receipts; not opened.</w:t>
      </w:r>
    </w:p>
    <w:p w14:paraId="641FCE89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#25:</w:t>
      </w:r>
      <w:r>
        <w:t xml:space="preserve"> fine-tuned model reached 92.5% functional correctness on 800 Python fragments (seen only on a news site; verify on </w:t>
      </w:r>
      <w:proofErr w:type="spellStart"/>
      <w:r>
        <w:t>arXiv</w:t>
      </w:r>
      <w:proofErr w:type="spellEnd"/>
      <w:r>
        <w:t>). Supports verifying AI-assisted migration deterministically.</w:t>
      </w:r>
    </w:p>
    <w:p w14:paraId="641FCE8A" w14:textId="77777777" w:rsidR="00A30976" w:rsidRDefault="00762A15">
      <w:pPr>
        <w:pStyle w:val="Heading2"/>
      </w:pPr>
      <w:r>
        <w:t>Drop or downplay</w:t>
      </w:r>
    </w:p>
    <w:p w14:paraId="641FCE8B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#11:</w:t>
      </w:r>
      <w:r>
        <w:t xml:space="preserve"> healthcare IoT.</w:t>
      </w:r>
    </w:p>
    <w:p w14:paraId="641FCE8C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#13:</w:t>
      </w:r>
      <w:r>
        <w:t xml:space="preserve"> code-based crypto, not ML-KEM.</w:t>
      </w:r>
    </w:p>
    <w:p w14:paraId="641FCE8D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#16:</w:t>
      </w:r>
      <w:r>
        <w:t xml:space="preserve"> sparse Merkle trees for constrained networks; tangential to your ledger.</w:t>
      </w:r>
    </w:p>
    <w:p w14:paraId="641FCE8E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#18, #26:</w:t>
      </w:r>
      <w:r>
        <w:t xml:space="preserve"> SBOM/AI-BOM provenance, weak fit. </w:t>
      </w:r>
      <w:r>
        <w:rPr>
          <w:b/>
          <w:bCs/>
        </w:rPr>
        <w:t>#19:</w:t>
      </w:r>
      <w:r>
        <w:t xml:space="preserve"> generic SBOM review.</w:t>
      </w:r>
    </w:p>
    <w:p w14:paraId="641FCE8F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#20–24:</w:t>
      </w:r>
      <w:r>
        <w:t xml:space="preserve"> judging from titles, digital twins of cyber-physical systems, whereas your twins are synthetic data matched to statistical properties. Judges may flag the terminology mismatch.</w:t>
      </w:r>
    </w:p>
    <w:p w14:paraId="641FCE90" w14:textId="77777777" w:rsidR="00A30976" w:rsidRDefault="00762A15">
      <w:pPr>
        <w:pStyle w:val="Heading1"/>
      </w:pPr>
      <w:r>
        <w:t>3. What the list does not prove</w:t>
      </w:r>
    </w:p>
    <w:p w14:paraId="641FCE91" w14:textId="77777777" w:rsidR="00A30976" w:rsidRDefault="00762A15">
      <w:pPr>
        <w:spacing w:after="120"/>
      </w:pPr>
      <w:r>
        <w:t>Nothing here supports the novel parts: the recovery frontier with positive/negative controls and canaries, the Merkle ledger with PQC-signed receipts, or honeytoken tripwires. Candidates to verify yourself (suggested from memory, not verified this session):</w:t>
      </w:r>
    </w:p>
    <w:p w14:paraId="641FCE92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Mosca 2018 on the urgency inequality (appears in #14's reference list).</w:t>
      </w:r>
    </w:p>
    <w:p w14:paraId="641FCE93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proofErr w:type="spellStart"/>
      <w:r>
        <w:t>Koisser</w:t>
      </w:r>
      <w:proofErr w:type="spellEnd"/>
      <w:r>
        <w:t xml:space="preserve"> and Sadeghi, "Accountability of Things" (</w:t>
      </w:r>
      <w:proofErr w:type="spellStart"/>
      <w:r>
        <w:t>CoRR</w:t>
      </w:r>
      <w:proofErr w:type="spellEnd"/>
      <w:r>
        <w:t xml:space="preserve"> 2308.05557, seen in DBLP).</w:t>
      </w:r>
    </w:p>
    <w:p w14:paraId="641FCE94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 xml:space="preserve">Crosby and Wallach on tamper-evident logging; Certificate Transparency (RFC 9162); </w:t>
      </w:r>
      <w:proofErr w:type="spellStart"/>
      <w:r>
        <w:t>Sigstore</w:t>
      </w:r>
      <w:proofErr w:type="spellEnd"/>
      <w:r>
        <w:t>/</w:t>
      </w:r>
      <w:proofErr w:type="spellStart"/>
      <w:r>
        <w:t>Rekor</w:t>
      </w:r>
      <w:proofErr w:type="spellEnd"/>
      <w:r>
        <w:t>.</w:t>
      </w:r>
    </w:p>
    <w:p w14:paraId="641FCE95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TU Darmstadt lattice challenges for reduced-parameter benchmarking.</w:t>
      </w:r>
    </w:p>
    <w:p w14:paraId="641FCE96" w14:textId="77777777" w:rsidR="00A30976" w:rsidRDefault="00762A15">
      <w:pPr>
        <w:pStyle w:val="ListParagraph"/>
        <w:numPr>
          <w:ilvl w:val="0"/>
          <w:numId w:val="2"/>
        </w:numPr>
        <w:spacing w:after="60"/>
      </w:pPr>
      <w:r>
        <w:t>Honeywords and honeypot literature.</w:t>
      </w:r>
    </w:p>
    <w:p w14:paraId="641FCE97" w14:textId="77777777" w:rsidR="00A30976" w:rsidRDefault="00762A15">
      <w:pPr>
        <w:spacing w:after="120"/>
      </w:pPr>
      <w:r>
        <w:rPr>
          <w:b/>
          <w:bCs/>
        </w:rPr>
        <w:t>Correction to the architecture document:</w:t>
      </w:r>
      <w:r>
        <w:t xml:space="preserve"> #14 found </w:t>
      </w:r>
      <w:proofErr w:type="spellStart"/>
      <w:r>
        <w:t>ClientHello</w:t>
      </w:r>
      <w:proofErr w:type="spellEnd"/>
      <w:r>
        <w:t xml:space="preserve"> size-related failures were below 0.16% of handshake-phase failures. Reassembly is still needed, but middlebox breakage looks rare on the public web, so soften that claim.</w:t>
      </w:r>
    </w:p>
    <w:sectPr w:rsidR="00A309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829AE"/>
    <w:multiLevelType w:val="hybridMultilevel"/>
    <w:tmpl w:val="7DDE0C1E"/>
    <w:lvl w:ilvl="0" w:tplc="46DCE3A0">
      <w:start w:val="1"/>
      <w:numFmt w:val="bullet"/>
      <w:lvlText w:val="•"/>
      <w:lvlJc w:val="left"/>
      <w:pPr>
        <w:ind w:left="720" w:hanging="360"/>
      </w:pPr>
    </w:lvl>
    <w:lvl w:ilvl="1" w:tplc="0FF820A4">
      <w:numFmt w:val="decimal"/>
      <w:lvlText w:val=""/>
      <w:lvlJc w:val="left"/>
    </w:lvl>
    <w:lvl w:ilvl="2" w:tplc="95F2DA56">
      <w:numFmt w:val="decimal"/>
      <w:lvlText w:val=""/>
      <w:lvlJc w:val="left"/>
    </w:lvl>
    <w:lvl w:ilvl="3" w:tplc="B0E82E5C">
      <w:numFmt w:val="decimal"/>
      <w:lvlText w:val=""/>
      <w:lvlJc w:val="left"/>
    </w:lvl>
    <w:lvl w:ilvl="4" w:tplc="DD604816">
      <w:numFmt w:val="decimal"/>
      <w:lvlText w:val=""/>
      <w:lvlJc w:val="left"/>
    </w:lvl>
    <w:lvl w:ilvl="5" w:tplc="0174FFEA">
      <w:numFmt w:val="decimal"/>
      <w:lvlText w:val=""/>
      <w:lvlJc w:val="left"/>
    </w:lvl>
    <w:lvl w:ilvl="6" w:tplc="3A228520">
      <w:numFmt w:val="decimal"/>
      <w:lvlText w:val=""/>
      <w:lvlJc w:val="left"/>
    </w:lvl>
    <w:lvl w:ilvl="7" w:tplc="9C9ED2E6">
      <w:numFmt w:val="decimal"/>
      <w:lvlText w:val=""/>
      <w:lvlJc w:val="left"/>
    </w:lvl>
    <w:lvl w:ilvl="8" w:tplc="44FABDE2">
      <w:numFmt w:val="decimal"/>
      <w:lvlText w:val=""/>
      <w:lvlJc w:val="left"/>
    </w:lvl>
  </w:abstractNum>
  <w:abstractNum w:abstractNumId="1" w15:restartNumberingAfterBreak="0">
    <w:nsid w:val="3337725B"/>
    <w:multiLevelType w:val="hybridMultilevel"/>
    <w:tmpl w:val="58FE9F48"/>
    <w:lvl w:ilvl="0" w:tplc="11508F0A">
      <w:start w:val="1"/>
      <w:numFmt w:val="bullet"/>
      <w:lvlText w:val="●"/>
      <w:lvlJc w:val="left"/>
      <w:pPr>
        <w:ind w:left="720" w:hanging="360"/>
      </w:pPr>
    </w:lvl>
    <w:lvl w:ilvl="1" w:tplc="E35A7C0E">
      <w:start w:val="1"/>
      <w:numFmt w:val="bullet"/>
      <w:lvlText w:val="○"/>
      <w:lvlJc w:val="left"/>
      <w:pPr>
        <w:ind w:left="1440" w:hanging="360"/>
      </w:pPr>
    </w:lvl>
    <w:lvl w:ilvl="2" w:tplc="A77A943A">
      <w:start w:val="1"/>
      <w:numFmt w:val="bullet"/>
      <w:lvlText w:val="■"/>
      <w:lvlJc w:val="left"/>
      <w:pPr>
        <w:ind w:left="2160" w:hanging="360"/>
      </w:pPr>
    </w:lvl>
    <w:lvl w:ilvl="3" w:tplc="ED9895CA">
      <w:start w:val="1"/>
      <w:numFmt w:val="bullet"/>
      <w:lvlText w:val="●"/>
      <w:lvlJc w:val="left"/>
      <w:pPr>
        <w:ind w:left="2880" w:hanging="360"/>
      </w:pPr>
    </w:lvl>
    <w:lvl w:ilvl="4" w:tplc="EF9272A0">
      <w:start w:val="1"/>
      <w:numFmt w:val="bullet"/>
      <w:lvlText w:val="○"/>
      <w:lvlJc w:val="left"/>
      <w:pPr>
        <w:ind w:left="3600" w:hanging="360"/>
      </w:pPr>
    </w:lvl>
    <w:lvl w:ilvl="5" w:tplc="ED406B44">
      <w:start w:val="1"/>
      <w:numFmt w:val="bullet"/>
      <w:lvlText w:val="■"/>
      <w:lvlJc w:val="left"/>
      <w:pPr>
        <w:ind w:left="4320" w:hanging="360"/>
      </w:pPr>
    </w:lvl>
    <w:lvl w:ilvl="6" w:tplc="69E87150">
      <w:start w:val="1"/>
      <w:numFmt w:val="bullet"/>
      <w:lvlText w:val="●"/>
      <w:lvlJc w:val="left"/>
      <w:pPr>
        <w:ind w:left="5040" w:hanging="360"/>
      </w:pPr>
    </w:lvl>
    <w:lvl w:ilvl="7" w:tplc="6256D656">
      <w:start w:val="1"/>
      <w:numFmt w:val="bullet"/>
      <w:lvlText w:val="●"/>
      <w:lvlJc w:val="left"/>
      <w:pPr>
        <w:ind w:left="5760" w:hanging="360"/>
      </w:pPr>
    </w:lvl>
    <w:lvl w:ilvl="8" w:tplc="4FF27CF0">
      <w:start w:val="1"/>
      <w:numFmt w:val="bullet"/>
      <w:lvlText w:val="●"/>
      <w:lvlJc w:val="left"/>
      <w:pPr>
        <w:ind w:left="6480" w:hanging="360"/>
      </w:pPr>
    </w:lvl>
  </w:abstractNum>
  <w:num w:numId="1" w16cid:durableId="2033414385">
    <w:abstractNumId w:val="1"/>
    <w:lvlOverride w:ilvl="0">
      <w:startOverride w:val="1"/>
    </w:lvlOverride>
  </w:num>
  <w:num w:numId="2" w16cid:durableId="834615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76"/>
    <w:rsid w:val="00762A15"/>
    <w:rsid w:val="00A30976"/>
    <w:rsid w:val="00BA1A50"/>
    <w:rsid w:val="00C2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CE3A"/>
  <w15:docId w15:val="{ECFC5AF3-E22E-4027-9321-09A40B63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achalas2007@gmail.com</cp:lastModifiedBy>
  <cp:revision>2</cp:revision>
  <dcterms:created xsi:type="dcterms:W3CDTF">2026-09-30T20:55:00Z</dcterms:created>
  <dcterms:modified xsi:type="dcterms:W3CDTF">2026-10-01T05:02:00Z</dcterms:modified>
</cp:coreProperties>
</file>