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An Auditable Agentic LLM Pipeline for Rubric-Based Grading: Evidence from a Real E-commerce Course Dataset</w:t>
      </w:r>
    </w:p>
    <w:p>
      <w:r>
        <w:t>Nguyen Dinh Truc (corresponding) — 23521668@gm.uit.edu.vn</w:t>
      </w:r>
    </w:p>
    <w:p>
      <w:r>
        <w:t>Nguyen Uyen Nhi — 23521115@gm.uit.edu.vn</w:t>
      </w:r>
    </w:p>
    <w:p>
      <w:r>
        <w:t>Faculty of Information Systems, University of Information Technology (UIT), VNU-HCM, Vietnam</w:t>
      </w:r>
    </w:p>
    <w:p>
      <w:r>
        <w:t>Supervisor: Trinh Trong Tin</w:t>
      </w:r>
    </w:p>
    <w:p>
      <w:pPr>
        <w:pStyle w:val="Heading1"/>
      </w:pPr>
      <w:r>
        <w:t>Abstract</w:t>
      </w:r>
    </w:p>
    <w:p>
      <w:r>
        <w:t>Rubric-based grading is essential for transparency and consistency but becomes a bottleneck in large classes. We present an auditable agentic grading pipeline implemented with the OpenClaw framework and apply it to four rubric-based assignments from an undergraduate e-commerce introduction course at UIT. The pipeline includes dataset normalization, text extraction with OCR when needed, incremental result writing, and automated auditing to guarantee one-to-one mapping between submissions and exported scores. Two human graders independently score a stratified subset of submissions; ground truth is defined as the mean of the two scores. We compare a single-agent grader (Phase 1) and a multi-agent grader (Phase 2) that decomposes grading into content/structure/language specialists and aggregates via a chairman agent. We report inter-rater agreement (QWK) and system-vs-human metrics (QWK/MAE/Pearson) with bootstrap confidence intervals, and analyze systematic score shifts and stability signals (veto/spread) induced by Phase 2. Results show that multi-agent grading does not automatically improve reliability and can introduce assignment-dependent calibration shifts; we provide practical recommendations for calibrating and aggregating multi-agent rubric grading in real classroom deployments.</w:t>
      </w:r>
    </w:p>
    <w:p>
      <w:r>
        <w:t>Keywords: automated grading; rubric-based assessment; agentic AI; large language models; reliability; quadratic weighted kappa</w:t>
      </w:r>
    </w:p>
    <w:p>
      <w:pPr>
        <w:pStyle w:val="Heading1"/>
      </w:pPr>
      <w:r>
        <w:t>1 Introduction</w:t>
      </w:r>
    </w:p>
    <w:p>
      <w:pPr>
        <w:pStyle w:val="Heading2"/>
      </w:pPr>
      <w:r>
        <w:t>1.1 Motivation</w:t>
      </w:r>
    </w:p>
    <w:p>
      <w:r>
        <w:t>Rubric-based assessment supports fairness and consistent grading, yet grading at scale remains time-consuming in large classes. In practice, student submissions are heterogeneous (DOCX/PDF/TXT and scanned artifacts), and instructors require not only scores and short feedback but also auditable exports (no missing/duplicate records) for course administration and research use.</w:t>
      </w:r>
    </w:p>
    <w:p>
      <w:pPr>
        <w:pStyle w:val="Heading2"/>
      </w:pPr>
      <w:r>
        <w:t>1.2 Gap</w:t>
      </w:r>
    </w:p>
    <w:p>
      <w:r>
        <w:t>Automated essay/response scoring traditionally evaluates agreement against human raters using statistics such as weighted kappa/QWK [1,2] and provides evaluation frameworks for validity and operational use [3]. Recent studies explore large language models (LLMs) for instruction- and rubric-grounded scoring [10], but real classroom deployments often require (i) end-to-end pipelines that can handle heterogeneous file formats and OCR, (ii) strict auditability guarantees, and (iii) reliability-first reporting that contextualizes system performance with human inter-rater agreement [3,4]. Meanwhile, multi-agent decompositions can help in some contexts but may also introduce calibration mismatch and aggregation instability [14,15].</w:t>
      </w:r>
    </w:p>
    <w:p>
      <w:pPr>
        <w:pStyle w:val="Heading2"/>
      </w:pPr>
      <w:r>
        <w:t>1.3 Contributions</w:t>
      </w:r>
    </w:p>
    <w:p>
      <w:r>
        <w:t>C1. An auditable grading pipeline (normalization → extraction/OCR → grading → incremental export → auditing) built on OpenClaw [18].</w:t>
      </w:r>
    </w:p>
    <w:p>
      <w:r>
        <w:t>C2. A research-ready artifact set (derived, anonymized) for four assignments from a real UIT e-commerce course, with validated one-to-one submission-to-score mapping.</w:t>
      </w:r>
    </w:p>
    <w:p>
      <w:r>
        <w:t>C3. Reliability-first evaluation with human inter-rater QWK and AI-vs-GT (QWK/MAE/Pearson) with bootstrap confidence intervals.</w:t>
      </w:r>
    </w:p>
    <w:p>
      <w:r>
        <w:t>C4. Evidence-based analysis of multi-agent grading: systematic score shifts, veto/spread stability signals, and practical calibration recommendations.</w:t>
      </w:r>
    </w:p>
    <w:p>
      <w:pPr>
        <w:pStyle w:val="Heading1"/>
      </w:pPr>
      <w:r>
        <w:t>2 Related Work</w:t>
      </w:r>
    </w:p>
    <w:p>
      <w:pPr>
        <w:pStyle w:val="Heading2"/>
      </w:pPr>
      <w:r>
        <w:t>2.1 Automated scoring and agreement metrics</w:t>
      </w:r>
    </w:p>
    <w:p>
      <w:r>
        <w:t>AES/SAS research commonly measures system–human agreement using Cohen’s weighted kappa variants for ordinal scales [1] and practical interpretation guidelines [2]. Evaluation frameworks emphasize reporting reliability, validity, and operational constraints [3].</w:t>
      </w:r>
    </w:p>
    <w:p>
      <w:pPr>
        <w:pStyle w:val="Heading2"/>
      </w:pPr>
      <w:r>
        <w:t>2.2 Benchmarks and modeling approaches for AES</w:t>
      </w:r>
    </w:p>
    <w:p>
      <w:r>
        <w:t>Benchmarks such as ASAP popularized QWK-based evaluation for essay scoring [7]. Neural AES methods remain a strong baseline paradigm [8], and survey work summarizes modeling choices and evaluation practices [5,9].</w:t>
      </w:r>
    </w:p>
    <w:p>
      <w:pPr>
        <w:pStyle w:val="Heading2"/>
      </w:pPr>
      <w:r>
        <w:t>2.3 LLM-based rubric-grounded grading</w:t>
      </w:r>
    </w:p>
    <w:p>
      <w:r>
        <w:t>Prompt-based LLM scoring can be adapted to new rubrics without task-specific training, yet agreement varies by prompting and calibration. Recent work documents both promise and limitations in reliability and bias [10,11,12].</w:t>
      </w:r>
    </w:p>
    <w:p>
      <w:pPr>
        <w:pStyle w:val="Heading2"/>
      </w:pPr>
      <w:r>
        <w:t>2.4 Multi-agent LLM grading and aggregation</w:t>
      </w:r>
    </w:p>
    <w:p>
      <w:r>
        <w:t>Multi-agent designs decompose grading into specialists and aggregate outputs. Such aggregation can introduce severity mismatch and instability without calibration [14]. Structured multi-agent scoring pipelines have also been proposed [15].</w:t>
      </w:r>
    </w:p>
    <w:p>
      <w:pPr>
        <w:pStyle w:val="Heading2"/>
      </w:pPr>
      <w:r>
        <w:t>2.5 Reliability-first evaluation</w:t>
      </w:r>
    </w:p>
    <w:p>
      <w:r>
        <w:t>Automated scoring should be interpreted relative to human inter-rater reliability rather than as absolute truth [3].</w:t>
      </w:r>
    </w:p>
    <w:p>
      <w:pPr>
        <w:pStyle w:val="Heading1"/>
      </w:pPr>
      <w:r>
        <w:t>3 Method</w:t>
      </w:r>
    </w:p>
    <w:p>
      <w:r>
        <w:t>Figure 1 shows the end-to-end pipeline.</w:t>
      </w:r>
    </w:p>
    <w:p>
      <w:r>
        <w:t>Figure 1: OpenClaw grading pipeline (normalization → extraction/OCR → grading → export/audit).</w:t>
      </w:r>
    </w:p>
    <w:p>
      <w:r>
        <w:drawing>
          <wp:inline xmlns:a="http://schemas.openxmlformats.org/drawingml/2006/main" xmlns:pic="http://schemas.openxmlformats.org/drawingml/2006/picture">
            <wp:extent cx="5943600" cy="16642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3.1 Implementation and model configuration</w:t>
      </w:r>
    </w:p>
    <w:p>
      <w:r>
        <w:t>All LLM calls are served through a local OpenClaw Gateway exposing an OpenAI-compatible Chat Completions endpoint [18]. In our deployment configuration (openclaw.json), the agent's primary model identifier is `openai-codex/gpt-5.2`, accessed via an OAuth-based `openai-codex` profile. This identifier is produced by the gateway routing layer; the underlying model family/weights are proprietary and not publicly disclosed. Therefore, we focus reproducibility on fixed decoding settings, JSON-only scoring schemas, released derived artifacts, and evaluation scripts rather than exact replication of model weights. Phase 1 uses temperature=0.1 and max_tokens=900; Phase 2 uses temperature=0.1 and max_tokens=800 with robust retry logic for rate limits and JSON parsing. Scores are post-processed with deterministic rounding (0.25 per criterion; 0.5 total; range 0–10).</w:t>
      </w:r>
    </w:p>
    <w:p>
      <w:pPr>
        <w:pStyle w:val="Heading2"/>
      </w:pPr>
      <w:r>
        <w:t>3.2 Phase 1: Single-agent rubric grading</w:t>
      </w:r>
    </w:p>
    <w:p>
      <w:r>
        <w:t>Phase 1 grades all rubric criteria in a single call per submission and outputs per-criterion scores, total score, and short feedback.</w:t>
      </w:r>
    </w:p>
    <w:p>
      <w:pPr>
        <w:pStyle w:val="Heading2"/>
      </w:pPr>
      <w:r>
        <w:t>3.3 Phase 2: Multi-agent grading (content/structure/language + chairman aggregation)</w:t>
      </w:r>
    </w:p>
    <w:p>
      <w:r>
        <w:t>Phase 2 runs three specialist graders in parallel and aggregates per-criterion scores via a chairman agent (mean per criterion). A veto flag is triggered when specialist totals differ by more than 2.0 points, and a spread value summarizes inter-specialist disagreement.</w:t>
      </w:r>
    </w:p>
    <w:p>
      <w:pPr>
        <w:pStyle w:val="Heading1"/>
      </w:pPr>
      <w:r>
        <w:t>4 Experimental Setup</w:t>
      </w:r>
    </w:p>
    <w:p>
      <w:r>
        <w:t>We evaluate four assignments (BT1–BT4), each scored on a 0–10 scale with rubric maxima per criterion. Two human graders score a stratified subset (N=30 per assignment) selected to cover performance bands (high/medium/low) based on Phase-1 scores. Ground truth (GT) is defined as the mean of the two human scores. Human annotation budget constraints limited N; we report uncertainty via bootstrap confidence intervals.</w:t>
      </w:r>
    </w:p>
    <w:p>
      <w:pPr>
        <w:pStyle w:val="Heading2"/>
      </w:pPr>
      <w:r>
        <w:t>4.1 Metrics</w:t>
      </w:r>
    </w:p>
    <w:p>
      <w:r>
        <w:t>We report inter-rater QWK between the two humans and compare Phase 1/Phase 2 against GT using QWK, MAE, and Pearson correlation. For QWK, scores are mapped to integers by multiplying by 2 and rounding, matching the 0.5-point granularity used in totals.</w:t>
      </w:r>
    </w:p>
    <w:p>
      <w:pPr>
        <w:pStyle w:val="Heading1"/>
      </w:pPr>
      <w:r>
        <w:t>5 Results</w:t>
      </w:r>
    </w:p>
    <w:p>
      <w:pPr>
        <w:pStyle w:val="Heading2"/>
      </w:pPr>
      <w:r>
        <w:t>5.1 Human agreement and AI-vs-GT (with bootstrap CIs)</w:t>
      </w:r>
    </w:p>
    <w:p>
      <w:r>
        <w:t>Table 1 reports point estimates and 95% bootstrap confidence intervals on the human-scored subset (N=30 per assignment).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BT</w:t>
            </w:r>
          </w:p>
        </w:tc>
        <w:tc>
          <w:tcPr>
            <w:tcW w:type="dxa" w:w="1080"/>
          </w:tcPr>
          <w:p>
            <w:r>
              <w:t>Human QWK [CI]</w:t>
            </w:r>
          </w:p>
        </w:tc>
        <w:tc>
          <w:tcPr>
            <w:tcW w:type="dxa" w:w="1080"/>
          </w:tcPr>
          <w:p>
            <w:r>
              <w:t>P1 QWK [CI]</w:t>
            </w:r>
          </w:p>
        </w:tc>
        <w:tc>
          <w:tcPr>
            <w:tcW w:type="dxa" w:w="1080"/>
          </w:tcPr>
          <w:p>
            <w:r>
              <w:t>P1 MAE [CI]</w:t>
            </w:r>
          </w:p>
        </w:tc>
        <w:tc>
          <w:tcPr>
            <w:tcW w:type="dxa" w:w="1080"/>
          </w:tcPr>
          <w:p>
            <w:r>
              <w:t>P1 r [CI]</w:t>
            </w:r>
          </w:p>
        </w:tc>
        <w:tc>
          <w:tcPr>
            <w:tcW w:type="dxa" w:w="1080"/>
          </w:tcPr>
          <w:p>
            <w:r>
              <w:t>P2 QWK [CI]</w:t>
            </w:r>
          </w:p>
        </w:tc>
        <w:tc>
          <w:tcPr>
            <w:tcW w:type="dxa" w:w="1080"/>
          </w:tcPr>
          <w:p>
            <w:r>
              <w:t>P2 MAE [CI]</w:t>
            </w:r>
          </w:p>
        </w:tc>
        <w:tc>
          <w:tcPr>
            <w:tcW w:type="dxa" w:w="1080"/>
          </w:tcPr>
          <w:p>
            <w:r>
              <w:t>P2 r [CI]</w:t>
            </w:r>
          </w:p>
        </w:tc>
      </w:tr>
      <w:tr>
        <w:tc>
          <w:tcPr>
            <w:tcW w:type="dxa" w:w="1080"/>
          </w:tcPr>
          <w:p>
            <w:r>
              <w:t>BT1</w:t>
            </w:r>
          </w:p>
        </w:tc>
        <w:tc>
          <w:tcPr>
            <w:tcW w:type="dxa" w:w="1080"/>
          </w:tcPr>
          <w:p>
            <w:r>
              <w:t>0.698 [0.464, 0.811]</w:t>
            </w:r>
          </w:p>
        </w:tc>
        <w:tc>
          <w:tcPr>
            <w:tcW w:type="dxa" w:w="1080"/>
          </w:tcPr>
          <w:p>
            <w:r>
              <w:t>0.484 [0.273, 0.627]</w:t>
            </w:r>
          </w:p>
        </w:tc>
        <w:tc>
          <w:tcPr>
            <w:tcW w:type="dxa" w:w="1080"/>
          </w:tcPr>
          <w:p>
            <w:r>
              <w:t>1.108 [0.892, 1.333]</w:t>
            </w:r>
          </w:p>
        </w:tc>
        <w:tc>
          <w:tcPr>
            <w:tcW w:type="dxa" w:w="1080"/>
          </w:tcPr>
          <w:p>
            <w:r>
              <w:t>0.808 [0.681, 0.892]</w:t>
            </w:r>
          </w:p>
        </w:tc>
        <w:tc>
          <w:tcPr>
            <w:tcW w:type="dxa" w:w="1080"/>
          </w:tcPr>
          <w:p>
            <w:r>
              <w:t>0.043 [-0.026, 0.142]</w:t>
            </w:r>
          </w:p>
        </w:tc>
        <w:tc>
          <w:tcPr>
            <w:tcW w:type="dxa" w:w="1080"/>
          </w:tcPr>
          <w:p>
            <w:r>
              <w:t>1.842 [1.517, 2.158]</w:t>
            </w:r>
          </w:p>
        </w:tc>
        <w:tc>
          <w:tcPr>
            <w:tcW w:type="dxa" w:w="1080"/>
          </w:tcPr>
          <w:p>
            <w:r>
              <w:t>0.225 [-0.115, 0.557]</w:t>
            </w:r>
          </w:p>
        </w:tc>
      </w:tr>
      <w:tr>
        <w:tc>
          <w:tcPr>
            <w:tcW w:type="dxa" w:w="1080"/>
          </w:tcPr>
          <w:p>
            <w:r>
              <w:t>BT2</w:t>
            </w:r>
          </w:p>
        </w:tc>
        <w:tc>
          <w:tcPr>
            <w:tcW w:type="dxa" w:w="1080"/>
          </w:tcPr>
          <w:p>
            <w:r>
              <w:t>0.684 [0.469, 0.802]</w:t>
            </w:r>
          </w:p>
        </w:tc>
        <w:tc>
          <w:tcPr>
            <w:tcW w:type="dxa" w:w="1080"/>
          </w:tcPr>
          <w:p>
            <w:r>
              <w:t>0.331 [0.164, 0.443]</w:t>
            </w:r>
          </w:p>
        </w:tc>
        <w:tc>
          <w:tcPr>
            <w:tcW w:type="dxa" w:w="1080"/>
          </w:tcPr>
          <w:p>
            <w:r>
              <w:t>1.375 [1.142, 1.600]</w:t>
            </w:r>
          </w:p>
        </w:tc>
        <w:tc>
          <w:tcPr>
            <w:tcW w:type="dxa" w:w="1080"/>
          </w:tcPr>
          <w:p>
            <w:r>
              <w:t>0.694 [0.411, 0.860]</w:t>
            </w:r>
          </w:p>
        </w:tc>
        <w:tc>
          <w:tcPr>
            <w:tcW w:type="dxa" w:w="1080"/>
          </w:tcPr>
          <w:p>
            <w:r>
              <w:t>-0.002 [-0.237, 0.244]</w:t>
            </w:r>
          </w:p>
        </w:tc>
        <w:tc>
          <w:tcPr>
            <w:tcW w:type="dxa" w:w="1080"/>
          </w:tcPr>
          <w:p>
            <w:r>
              <w:t>0.958 [0.708, 1.250]</w:t>
            </w:r>
          </w:p>
        </w:tc>
        <w:tc>
          <w:tcPr>
            <w:tcW w:type="dxa" w:w="1080"/>
          </w:tcPr>
          <w:p>
            <w:r>
              <w:t>-0.010 [-0.356, 0.337]</w:t>
            </w:r>
          </w:p>
        </w:tc>
      </w:tr>
      <w:tr>
        <w:tc>
          <w:tcPr>
            <w:tcW w:type="dxa" w:w="1080"/>
          </w:tcPr>
          <w:p>
            <w:r>
              <w:t>BT3</w:t>
            </w:r>
          </w:p>
        </w:tc>
        <w:tc>
          <w:tcPr>
            <w:tcW w:type="dxa" w:w="1080"/>
          </w:tcPr>
          <w:p>
            <w:r>
              <w:t>0.671 [0.440, 0.835]</w:t>
            </w:r>
          </w:p>
        </w:tc>
        <w:tc>
          <w:tcPr>
            <w:tcW w:type="dxa" w:w="1080"/>
          </w:tcPr>
          <w:p>
            <w:r>
              <w:t>0.827 [0.664, 0.904]</w:t>
            </w:r>
          </w:p>
        </w:tc>
        <w:tc>
          <w:tcPr>
            <w:tcW w:type="dxa" w:w="1080"/>
          </w:tcPr>
          <w:p>
            <w:r>
              <w:t>0.775 [0.550, 1.042]</w:t>
            </w:r>
          </w:p>
        </w:tc>
        <w:tc>
          <w:tcPr>
            <w:tcW w:type="dxa" w:w="1080"/>
          </w:tcPr>
          <w:p>
            <w:r>
              <w:t>0.897 [0.807, 0.960]</w:t>
            </w:r>
          </w:p>
        </w:tc>
        <w:tc>
          <w:tcPr>
            <w:tcW w:type="dxa" w:w="1080"/>
          </w:tcPr>
          <w:p>
            <w:r>
              <w:t>0.613 [0.405, 0.747]</w:t>
            </w:r>
          </w:p>
        </w:tc>
        <w:tc>
          <w:tcPr>
            <w:tcW w:type="dxa" w:w="1080"/>
          </w:tcPr>
          <w:p>
            <w:r>
              <w:t>1.058 [0.833, 1.300]</w:t>
            </w:r>
          </w:p>
        </w:tc>
        <w:tc>
          <w:tcPr>
            <w:tcW w:type="dxa" w:w="1080"/>
          </w:tcPr>
          <w:p>
            <w:r>
              <w:t>0.673 [0.509, 0.837]</w:t>
            </w:r>
          </w:p>
        </w:tc>
      </w:tr>
      <w:tr>
        <w:tc>
          <w:tcPr>
            <w:tcW w:type="dxa" w:w="1080"/>
          </w:tcPr>
          <w:p>
            <w:r>
              <w:t>BT4</w:t>
            </w:r>
          </w:p>
        </w:tc>
        <w:tc>
          <w:tcPr>
            <w:tcW w:type="dxa" w:w="1080"/>
          </w:tcPr>
          <w:p>
            <w:r>
              <w:t>0.628 [0.301, 0.791]</w:t>
            </w:r>
          </w:p>
        </w:tc>
        <w:tc>
          <w:tcPr>
            <w:tcW w:type="dxa" w:w="1080"/>
          </w:tcPr>
          <w:p>
            <w:r>
              <w:t>0.720 [0.587, 0.799]</w:t>
            </w:r>
          </w:p>
        </w:tc>
        <w:tc>
          <w:tcPr>
            <w:tcW w:type="dxa" w:w="1080"/>
          </w:tcPr>
          <w:p>
            <w:r>
              <w:t>0.575 [0.442, 0.725]</w:t>
            </w:r>
          </w:p>
        </w:tc>
        <w:tc>
          <w:tcPr>
            <w:tcW w:type="dxa" w:w="1080"/>
          </w:tcPr>
          <w:p>
            <w:r>
              <w:t>0.753 [0.630, 0.861]</w:t>
            </w:r>
          </w:p>
        </w:tc>
        <w:tc>
          <w:tcPr>
            <w:tcW w:type="dxa" w:w="1080"/>
          </w:tcPr>
          <w:p>
            <w:r>
              <w:t>0.517 [0.262, 0.698]</w:t>
            </w:r>
          </w:p>
        </w:tc>
        <w:tc>
          <w:tcPr>
            <w:tcW w:type="dxa" w:w="1080"/>
          </w:tcPr>
          <w:p>
            <w:r>
              <w:t>0.608 [0.467, 0.750]</w:t>
            </w:r>
          </w:p>
        </w:tc>
        <w:tc>
          <w:tcPr>
            <w:tcW w:type="dxa" w:w="1080"/>
          </w:tcPr>
          <w:p>
            <w:r>
              <w:t>0.553 [0.324, 0.725]</w:t>
            </w:r>
          </w:p>
        </w:tc>
      </w:tr>
    </w:tbl>
    <w:p>
      <w:pPr>
        <w:pStyle w:val="Heading2"/>
      </w:pPr>
      <w:r>
        <w:t>5.2 Phase 2 vs Phase 1 score shifts and stability signals (full dataset outputs)</w:t>
      </w:r>
    </w:p>
    <w:p>
      <w:r>
        <w:t>Table 2 summarizes systematic score shifts of Phase 2 relative to Phase 1 on the full exported outputs, along with veto rates and mean spread.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BT</w:t>
            </w:r>
          </w:p>
        </w:tc>
        <w:tc>
          <w:tcPr>
            <w:tcW w:type="dxa" w:w="1440"/>
          </w:tcPr>
          <w:p>
            <w:r>
              <w:t>N_full</w:t>
            </w:r>
          </w:p>
        </w:tc>
        <w:tc>
          <w:tcPr>
            <w:tcW w:type="dxa" w:w="1440"/>
          </w:tcPr>
          <w:p>
            <w:r>
              <w:t>mean(P2−P1)</w:t>
            </w:r>
          </w:p>
        </w:tc>
        <w:tc>
          <w:tcPr>
            <w:tcW w:type="dxa" w:w="1440"/>
          </w:tcPr>
          <w:p>
            <w:r>
              <w:t>median(P2−P1)</w:t>
            </w:r>
          </w:p>
        </w:tc>
        <w:tc>
          <w:tcPr>
            <w:tcW w:type="dxa" w:w="1440"/>
          </w:tcPr>
          <w:p>
            <w:r>
              <w:t>veto rate</w:t>
            </w:r>
          </w:p>
        </w:tc>
        <w:tc>
          <w:tcPr>
            <w:tcW w:type="dxa" w:w="1440"/>
          </w:tcPr>
          <w:p>
            <w:r>
              <w:t>mean spread</w:t>
            </w:r>
          </w:p>
        </w:tc>
      </w:tr>
      <w:tr>
        <w:tc>
          <w:tcPr>
            <w:tcW w:type="dxa" w:w="1440"/>
          </w:tcPr>
          <w:p>
            <w:r>
              <w:t>BT1</w:t>
            </w:r>
          </w:p>
        </w:tc>
        <w:tc>
          <w:tcPr>
            <w:tcW w:type="dxa" w:w="1440"/>
          </w:tcPr>
          <w:p>
            <w:r>
              <w:t>137</w:t>
            </w:r>
          </w:p>
        </w:tc>
        <w:tc>
          <w:tcPr>
            <w:tcW w:type="dxa" w:w="1440"/>
          </w:tcPr>
          <w:p>
            <w:r>
              <w:t>-0.836</w:t>
            </w:r>
          </w:p>
        </w:tc>
        <w:tc>
          <w:tcPr>
            <w:tcW w:type="dxa" w:w="1440"/>
          </w:tcPr>
          <w:p>
            <w:r>
              <w:t>-1.000</w:t>
            </w:r>
          </w:p>
        </w:tc>
        <w:tc>
          <w:tcPr>
            <w:tcW w:type="dxa" w:w="1440"/>
          </w:tcPr>
          <w:p>
            <w:r>
              <w:t>0.993</w:t>
            </w:r>
          </w:p>
        </w:tc>
        <w:tc>
          <w:tcPr>
            <w:tcW w:type="dxa" w:w="1440"/>
          </w:tcPr>
          <w:p>
            <w:r>
              <w:t>5.150</w:t>
            </w:r>
          </w:p>
        </w:tc>
      </w:tr>
      <w:tr>
        <w:tc>
          <w:tcPr>
            <w:tcW w:type="dxa" w:w="1440"/>
          </w:tcPr>
          <w:p>
            <w:r>
              <w:t>BT2</w:t>
            </w:r>
          </w:p>
        </w:tc>
        <w:tc>
          <w:tcPr>
            <w:tcW w:type="dxa" w:w="1440"/>
          </w:tcPr>
          <w:p>
            <w:r>
              <w:t>129</w:t>
            </w:r>
          </w:p>
        </w:tc>
        <w:tc>
          <w:tcPr>
            <w:tcW w:type="dxa" w:w="1440"/>
          </w:tcPr>
          <w:p>
            <w:r>
              <w:t>1.787</w:t>
            </w:r>
          </w:p>
        </w:tc>
        <w:tc>
          <w:tcPr>
            <w:tcW w:type="dxa" w:w="1440"/>
          </w:tcPr>
          <w:p>
            <w:r>
              <w:t>2.000</w:t>
            </w:r>
          </w:p>
        </w:tc>
        <w:tc>
          <w:tcPr>
            <w:tcW w:type="dxa" w:w="1440"/>
          </w:tcPr>
          <w:p>
            <w:r>
              <w:t>0.922</w:t>
            </w:r>
          </w:p>
        </w:tc>
        <w:tc>
          <w:tcPr>
            <w:tcW w:type="dxa" w:w="1440"/>
          </w:tcPr>
          <w:p>
            <w:r>
              <w:t>3.387</w:t>
            </w:r>
          </w:p>
        </w:tc>
      </w:tr>
      <w:tr>
        <w:tc>
          <w:tcPr>
            <w:tcW w:type="dxa" w:w="1440"/>
          </w:tcPr>
          <w:p>
            <w:r>
              <w:t>BT3</w:t>
            </w:r>
          </w:p>
        </w:tc>
        <w:tc>
          <w:tcPr>
            <w:tcW w:type="dxa" w:w="1440"/>
          </w:tcPr>
          <w:p>
            <w:r>
              <w:t>123</w:t>
            </w:r>
          </w:p>
        </w:tc>
        <w:tc>
          <w:tcPr>
            <w:tcW w:type="dxa" w:w="1440"/>
          </w:tcPr>
          <w:p>
            <w:r>
              <w:t>-0.943</w:t>
            </w:r>
          </w:p>
        </w:tc>
        <w:tc>
          <w:tcPr>
            <w:tcW w:type="dxa" w:w="1440"/>
          </w:tcPr>
          <w:p>
            <w:r>
              <w:t>-1.000</w:t>
            </w:r>
          </w:p>
        </w:tc>
        <w:tc>
          <w:tcPr>
            <w:tcW w:type="dxa" w:w="1440"/>
          </w:tcPr>
          <w:p>
            <w:r>
              <w:t>0.772</w:t>
            </w:r>
          </w:p>
        </w:tc>
        <w:tc>
          <w:tcPr>
            <w:tcW w:type="dxa" w:w="1440"/>
          </w:tcPr>
          <w:p>
            <w:r>
              <w:t>2.653</w:t>
            </w:r>
          </w:p>
        </w:tc>
      </w:tr>
      <w:tr>
        <w:tc>
          <w:tcPr>
            <w:tcW w:type="dxa" w:w="1440"/>
          </w:tcPr>
          <w:p>
            <w:r>
              <w:t>BT4</w:t>
            </w:r>
          </w:p>
        </w:tc>
        <w:tc>
          <w:tcPr>
            <w:tcW w:type="dxa" w:w="1440"/>
          </w:tcPr>
          <w:p>
            <w:r>
              <w:t>131</w:t>
            </w:r>
          </w:p>
        </w:tc>
        <w:tc>
          <w:tcPr>
            <w:tcW w:type="dxa" w:w="1440"/>
          </w:tcPr>
          <w:p>
            <w:r>
              <w:t>-0.889</w:t>
            </w:r>
          </w:p>
        </w:tc>
        <w:tc>
          <w:tcPr>
            <w:tcW w:type="dxa" w:w="1440"/>
          </w:tcPr>
          <w:p>
            <w:r>
              <w:t>-1.000</w:t>
            </w:r>
          </w:p>
        </w:tc>
        <w:tc>
          <w:tcPr>
            <w:tcW w:type="dxa" w:w="1440"/>
          </w:tcPr>
          <w:p>
            <w:r>
              <w:t>0.061</w:t>
            </w:r>
          </w:p>
        </w:tc>
        <w:tc>
          <w:tcPr>
            <w:tcW w:type="dxa" w:w="1440"/>
          </w:tcPr>
          <w:p>
            <w:r>
              <w:t>1.133</w:t>
            </w:r>
          </w:p>
        </w:tc>
      </w:tr>
    </w:tbl>
    <w:p>
      <w:pPr>
        <w:pStyle w:val="Heading2"/>
      </w:pPr>
      <w:r>
        <w:t>5.3 Visualization</w:t>
      </w:r>
    </w:p>
    <w:p>
      <w:r>
        <w:t>Figure 2 visualizes agreement with GT for Phase 1 and Phase 2 (N=30 per assignment).</w:t>
      </w:r>
    </w:p>
    <w:p>
      <w:r>
        <w:t>Figure 2: Scatter plots of P1/P2 vs GT across assignments (dashed line indicates y=x).</w:t>
      </w:r>
    </w:p>
    <w:p>
      <w:r>
        <w:drawing>
          <wp:inline xmlns:a="http://schemas.openxmlformats.org/drawingml/2006/main" xmlns:pic="http://schemas.openxmlformats.org/drawingml/2006/picture">
            <wp:extent cx="6126480" cy="26803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catter_p1_p2_vs_g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80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 Discussion and recommendations</w:t>
      </w:r>
    </w:p>
    <w:p>
      <w:r>
        <w:t>Multi-agent grading does not automatically improve ordinal agreement (QWK) with GT in our setting, and can introduce assignment-dependent score shifts. We attribute this to calibration mismatch between specialists, aggregation smoothing, and surface-feature sensitivity (language) that may be misaligned with rubric intent in factual/sourcing-heavy assignments (BT1–BT2).</w:t>
      </w:r>
    </w:p>
    <w:p>
      <w:r>
        <w:t>Recommendations to improve multi-agent grading reliability:</w:t>
      </w:r>
    </w:p>
    <w:p>
      <w:r>
        <w:t>R1. Calibrate specialist severity using a small anchor set and learn per-grader offsets/scales before aggregation.</w:t>
      </w:r>
    </w:p>
    <w:p>
      <w:r>
        <w:t>R2. Use robust aggregation (median/trimmed mean) rather than simple mean to reduce outlier severity effects.</w:t>
      </w:r>
    </w:p>
    <w:p>
      <w:r>
        <w:t>R3. Rubric-aligned weighting: downweight language/style for BT1–BT2; increase for BT3–BT4.</w:t>
      </w:r>
    </w:p>
    <w:p>
      <w:pPr>
        <w:pStyle w:val="Heading2"/>
      </w:pPr>
      <w:r>
        <w:t>6.1 Limitations</w:t>
      </w:r>
    </w:p>
    <w:p>
      <w:r>
        <w:t>Our human-scored subset is limited (N=30 per assignment) due to annotator availability; bootstrap CIs can be wide. We did not perform a full sensitivity analysis over temperature and prompting variants; results may change under different decoding settings. Ground truth is defined as the mean of two graders; when graders disagree substantially, adjudication could yield a different reference score.</w:t>
      </w:r>
    </w:p>
    <w:p>
      <w:pPr>
        <w:pStyle w:val="Heading1"/>
      </w:pPr>
      <w:r>
        <w:t>7 Ethics and privacy</w:t>
      </w:r>
    </w:p>
    <w:p>
      <w:r>
        <w:t>Student submissions are sensitive; we recommend releasing only derived anonymized artifacts (scores/metadata/audit logs) and not releasing raw submissions.</w:t>
      </w:r>
    </w:p>
    <w:p>
      <w:pPr>
        <w:pStyle w:val="Heading1"/>
      </w:pPr>
      <w:r>
        <w:t>8 Conclusion</w:t>
      </w:r>
    </w:p>
    <w:p>
      <w:r>
        <w:t>We presented an auditable OpenClaw-based grading pipeline and a reliability-first evaluation across four real assignments. Single-agent grading achieved higher agreement with human scores than multi-agent grading in our setting, and Phase 2 exhibited systematic shifts and stability issues. We provided practical calibration and aggregation recommendations for deploying multi-agent rubric grading in real courses.</w:t>
      </w:r>
    </w:p>
    <w:p>
      <w:pPr>
        <w:pStyle w:val="Heading1"/>
      </w:pPr>
      <w:r>
        <w:t>References</w:t>
      </w:r>
    </w:p>
    <w:p>
      <w:r>
        <w:t>[1] Cohen, J.: Weighted kappa: Nominal scale agreement with provision for scaled disagreement or partial credit. Psychological Bulletin 70(4), 213–220 (1968).</w:t>
      </w:r>
    </w:p>
    <w:p>
      <w:r>
        <w:t>[2] Landis, J.R., Koch, G.G.: The measurement of observer agreement for categorical data. Biometrics 33(1), 159–174 (1977).</w:t>
      </w:r>
    </w:p>
    <w:p>
      <w:r>
        <w:t>[3] Williamson, D.M., Xi, X., Breyer, F.J.: A framework for evaluation and use of automated scoring. Educational Measurement: Issues and Practice 31(1), 2–13 (2012).</w:t>
      </w:r>
    </w:p>
    <w:p>
      <w:r>
        <w:t>[4] Shermis, M.D., Burstein, J. (eds.): Handbook of Automated Essay Evaluation: Current Applications and New Directions. Routledge (2013).</w:t>
      </w:r>
    </w:p>
    <w:p>
      <w:r>
        <w:t>[5] Beigman Klebanov, B., Madnani, N.: Automated Essay Scoring. Synthesis Lectures in Human Language Technologies. Morgan &amp; Claypool (2021).</w:t>
      </w:r>
    </w:p>
    <w:p>
      <w:r>
        <w:t>[6] Attali, Y., Burstein, J.: Automated essay scoring with e-rater® V.2. Journal of Technology, Learning, and Assessment 4(3) (2006).</w:t>
      </w:r>
    </w:p>
    <w:p>
      <w:r>
        <w:t>[7] Hewlett Foundation (ASAP). Automated Student Assessment Prize (ASAP) AES benchmark (Kaggle competition). https://www.kaggle.com/c/asap-aes (accessed 2026-05-01).</w:t>
      </w:r>
    </w:p>
    <w:p>
      <w:r>
        <w:t>[8] Taghipour, K., Ng, H.T.: A neural approach to automated essay scoring. In: Proceedings of EMNLP 2016, pp. 1882–1891. ACL (2016).</w:t>
      </w:r>
    </w:p>
    <w:p>
      <w:r>
        <w:t>[9] Ke, Z., Ng, V.: Automated essay scoring: A survey of the state of the art. In: Proceedings of IJCAI 2019, pp. 6300–6308 (2019).</w:t>
      </w:r>
    </w:p>
    <w:p>
      <w:r>
        <w:t>[10] Mizumoto, A., Eguchi, M.: Exploring the potential of using an AI language model for automated essay scoring. Research Methods in Applied Linguistics 2(2), 100050 (2023). https://doi.org/10.1016/j.rmal.2023.100050</w:t>
      </w:r>
    </w:p>
    <w:p>
      <w:r>
        <w:t>[11] Esterhuysen, H., et al.: Large language models in student assessment: Comparing ChatGPT and human graders. arXiv:2406.16510 (2024).</w:t>
      </w:r>
    </w:p>
    <w:p>
      <w:r>
        <w:t>[12] Meyer, L., et al.: Reliable but not rigorous: Evaluating ChatGPT's reliability, validity, and bias in automated academic grading. Computers and Education: Artificial Intelligence (2025).</w:t>
      </w:r>
    </w:p>
    <w:p>
      <w:r>
        <w:t>[13] Hakala, K., et al.: Automated refinement of essay scoring rubrics for language models via Reflect-and-Revise. arXiv:2510.09030 (2025).</w:t>
      </w:r>
    </w:p>
    <w:p>
      <w:r>
        <w:t>[14] Seßler, K., et al.: Specialists or generalists? Multi-agent and single-agent LLMs for essay grading. arXiv:2601.22386 (2026).</w:t>
      </w:r>
    </w:p>
    <w:p>
      <w:r>
        <w:t>[15] Wang, Y., Ding, Z., Wu, X., Sun, S., Liu, N., Zhai, X.: AutoSCORE: Enhancing automated scoring with multi-agent large language models via structured component recognition. arXiv:2509.21910 (2025).</w:t>
      </w:r>
    </w:p>
    <w:p>
      <w:r>
        <w:t>[16] Fleiss, J.L., Cohen, J.: The equivalence of weighted kappa and the intraclass correlation coefficient as measures of reliability. Educational and Psychological Measurement 33(3), 613–619 (1973).</w:t>
      </w:r>
    </w:p>
    <w:p>
      <w:r>
        <w:t>[17] OpenAI: API reference for Chat Completions (accessed via internal proxy in this work). https://platform.openai.com/docs/api-reference/chat (accessed 2026-05-01).</w:t>
      </w:r>
    </w:p>
    <w:p>
      <w:r>
        <w:t>[18] OpenClaw Framework. Documentation: https://docs.openclaw.ai ; Source: https://github.com/openclaw/openclaw (accessed 2026-05-01).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