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 Auditable Agentic LLM Pipeline for Rubric-Based Grading: Evidence from a Real E-commerce Course Dataset</w:t>
      </w:r>
    </w:p>
    <w:p>
      <w:r>
        <w:t>Nguyen Dinh Truc (corresponding) — 23521668@gm.uit.edu.vn</w:t>
      </w:r>
    </w:p>
    <w:p>
      <w:r>
        <w:t>Nguyen Uyen Nhi — 23521115@gm.uit.edu.vn</w:t>
      </w:r>
    </w:p>
    <w:p>
      <w:r>
        <w:t>Faculty of Information Systems, University of Information Technology (UIT), VNU-HCM, Vietnam</w:t>
      </w:r>
    </w:p>
    <w:p>
      <w:r>
        <w:t>Supervisor: Trinh Trong Tin</w:t>
      </w:r>
    </w:p>
    <w:p>
      <w:pPr>
        <w:pStyle w:val="Heading1"/>
      </w:pPr>
      <w:r>
        <w:t>Abstract</w:t>
      </w:r>
    </w:p>
    <w:p>
      <w:r>
        <w:t>Rubric-based grading is essential for transparency and consistency but becomes a bottleneck in large classes. We present an auditable agentic grading pipeline implemented with the OpenClaw framework and apply it to four rubric-based assignments from an undergraduate e-commerce introduction course at UIT. The pipeline includes dataset normalization, text extraction with OCR when needed, incremental result writing, and automated auditing to guarantee one-to-one mapping between submissions and exported scores. Two human graders independently score a stratified subset of submissions; ground truth is defined as the mean of the two scores. We compare a single-agent grader (Phase 1) and a multi-agent grader (Phase 2) that decomposes grading into content/structure/language specialists and aggregates via a chairman agent. We report inter-rater agreement (QWK) and system-vs-human metrics (QWK/MAE/Pearson) with bootstrap confidence intervals, and analyze systematic score shifts and stability signals (veto/spread) induced by Phase 2. Results show that multi-agent grading does not automatically improve reliability and can introduce assignment-dependent calibration shifts; we provide practical recommendations for calibrating and aggregating multi-agent rubric grading in real classroom deployments.</w:t>
      </w:r>
    </w:p>
    <w:p>
      <w:r>
        <w:t>Keywords: automated grading; rubric-based assessment; agentic AI; large language models; reliability; quadratic weighted kappa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Motivation</w:t>
      </w:r>
    </w:p>
    <w:p>
      <w:r>
        <w:t>Rubric-based assessment supports fairness and consistent grading, yet grading at scale remains time-consuming in large classes. Real classroom submissions are heterogeneous (DOCX/PDF/TXT and scanned artifacts), and instructors require auditable exports (no missing/duplicate records) for course administration and research use.</w:t>
      </w:r>
    </w:p>
    <w:p>
      <w:pPr>
        <w:pStyle w:val="Heading2"/>
      </w:pPr>
      <w:r>
        <w:t>1.2 Gap</w:t>
      </w:r>
    </w:p>
    <w:p>
      <w:r>
        <w:t>Automated scoring traditionally evaluates agreement against human raters using weighted kappa/QWK [1,2] and emphasizes validity and operational constraints [3]. Recent studies explore LLM-based rubric-grounded scoring [10], but classroom deployments require robust pipelines for heterogeneous files and OCR, auditability, and reliability-first evaluation. Multi-agent decomposition can help in some contexts but may also introduce calibration mismatch and aggregation instability [14,15].</w:t>
      </w:r>
    </w:p>
    <w:p>
      <w:pPr>
        <w:pStyle w:val="Heading2"/>
      </w:pPr>
      <w:r>
        <w:t>1.3 Contributions</w:t>
      </w:r>
    </w:p>
    <w:p>
      <w:r>
        <w:t>C1. An auditable grading pipeline (normalization → extraction/OCR → grading → incremental export → auditing) built on OpenClaw [18].</w:t>
      </w:r>
    </w:p>
    <w:p>
      <w:r>
        <w:t>C2. We release derived, anonymized scoring artifacts (scores/metadata/audit summaries) and evaluation scripts via our public repository to enable independent verification of reported metrics.</w:t>
      </w:r>
    </w:p>
    <w:p>
      <w:r>
        <w:t>C3. Reliability-first evaluation with human inter-rater QWK and AI-vs-GT (QWK/MAE/Pearson) with bootstrap confidence intervals.</w:t>
      </w:r>
    </w:p>
    <w:p>
      <w:r>
        <w:t>C4. Evidence-based analysis of multi-agent grading: systematic score shifts, veto/spread stability signals, and practical calibration recommendations.</w:t>
      </w:r>
    </w:p>
    <w:p>
      <w:pPr>
        <w:pStyle w:val="Heading1"/>
      </w:pPr>
      <w:r>
        <w:t>2 Related Work</w:t>
      </w:r>
    </w:p>
    <w:p>
      <w:pPr>
        <w:pStyle w:val="Heading2"/>
      </w:pPr>
      <w:r>
        <w:t>2.1 Automated scoring and agreement metrics</w:t>
      </w:r>
    </w:p>
    <w:p>
      <w:r>
        <w:t>AES/SAS research commonly measures system–human agreement using Cohen’s weighted kappa variants for ordinal scales [1] and practical interpretation guidelines [2]. Evaluation frameworks emphasize reporting reliability, validity, and operational constraints [3].</w:t>
      </w:r>
    </w:p>
    <w:p>
      <w:pPr>
        <w:pStyle w:val="Heading2"/>
      </w:pPr>
      <w:r>
        <w:t>2.2 Benchmarks and modeling approaches</w:t>
      </w:r>
    </w:p>
    <w:p>
      <w:r>
        <w:t>Benchmarks such as ASAP popularized QWK-based evaluation for essay scoring [7]. Neural AES methods are a strong baseline paradigm [8], and survey work summarizes modeling choices and evaluation practices [5,9].</w:t>
      </w:r>
    </w:p>
    <w:p>
      <w:pPr>
        <w:pStyle w:val="Heading2"/>
      </w:pPr>
      <w:r>
        <w:t>2.3 LLM-based rubric-grounded grading</w:t>
      </w:r>
    </w:p>
    <w:p>
      <w:r>
        <w:t>Prompt-based LLM scoring can be adapted to new rubrics without task-specific training, yet agreement varies by prompting and calibration. Recent work documents both promise and limitations in reliability and bias [10,11,12].</w:t>
      </w:r>
    </w:p>
    <w:p>
      <w:pPr>
        <w:pStyle w:val="Heading2"/>
      </w:pPr>
      <w:r>
        <w:t>2.4 Multi-agent grading and aggregation</w:t>
      </w:r>
    </w:p>
    <w:p>
      <w:r>
        <w:t>Multi-agent designs decompose grading into specialists and aggregate outputs. Such aggregation can introduce severity mismatch and instability without calibration [14]. Structured multi-agent scoring pipelines have also been proposed [15].</w:t>
      </w:r>
    </w:p>
    <w:p>
      <w:pPr>
        <w:pStyle w:val="Heading2"/>
      </w:pPr>
      <w:r>
        <w:t>2.5 Reliability-first positioning</w:t>
      </w:r>
    </w:p>
    <w:p>
      <w:r>
        <w:t>Automated scoring should be interpreted relative to human inter-rater reliability rather than as absolute truth [3]. Accordingly, we report human–human agreement as an upper bound and evaluate both phases against the human-mean reference, while quantifying uncertainty via bootstrap confidence intervals. This practice helps prevent over-claiming improvements when evaluation subsets are constrained and agreement estimates are noisy [2,16].</w:t>
      </w:r>
    </w:p>
    <w:p>
      <w:pPr>
        <w:pStyle w:val="Heading1"/>
      </w:pPr>
      <w:r>
        <w:t>3 Method</w:t>
      </w:r>
    </w:p>
    <w:p>
      <w:r>
        <w:t>Figure 1 shows the end-to-end pipeline.</w:t>
      </w:r>
    </w:p>
    <w:p>
      <w:r>
        <w:t>Figure 1: OpenClaw grading pipeline (normalization → extraction/OCR → grading → export/audit).</w:t>
      </w:r>
    </w:p>
    <w:p>
      <w:r>
        <w:drawing>
          <wp:inline xmlns:a="http://schemas.openxmlformats.org/drawingml/2006/main" xmlns:pic="http://schemas.openxmlformats.org/drawingml/2006/picture">
            <wp:extent cx="5943600" cy="1664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Implementation and model configuration</w:t>
      </w:r>
    </w:p>
    <w:p>
      <w:r>
        <w:t>All LLM calls are served through a local OpenClaw Gateway exposing an OpenAI-compatible Chat Completions endpoint [18]. The gateway-reported model identifier in our deployment is `openai-codex/gpt-5.2` (a routing identifier); the underlying model weights are proprietary and not publicly disclosed. Therefore, we focus reproducibility on fixed decoding settings, JSON-only scoring schemas, released derived artifacts, and evaluation scripts rather than exact replication of model weights. Phase 1 uses temperature=0.1 and max_tokens=900; Phase 2 uses temperature=0.1 and max_tokens=800 with retry logic for rate limits and JSON parsing. Scores are post-processed with deterministic rounding (0.25 per criterion; 0.5 total; range 0–10).</w:t>
      </w:r>
    </w:p>
    <w:p>
      <w:pPr>
        <w:pStyle w:val="Heading1"/>
      </w:pPr>
      <w:r>
        <w:t>4 Experimental Setup</w:t>
      </w:r>
    </w:p>
    <w:p>
      <w:pPr>
        <w:pStyle w:val="Heading2"/>
      </w:pPr>
      <w:r>
        <w:t>4.1 Assignments and rubrics</w:t>
      </w:r>
    </w:p>
    <w:p>
      <w:r>
        <w:t>Table 0 summarizes the four assignments and dataset sizes (full dataset).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Topic (summary)</w:t>
            </w:r>
          </w:p>
        </w:tc>
        <w:tc>
          <w:tcPr>
            <w:tcW w:type="dxa" w:w="2160"/>
          </w:tcPr>
          <w:p>
            <w:r>
              <w:t>Typical format</w:t>
            </w:r>
          </w:p>
        </w:tc>
        <w:tc>
          <w:tcPr>
            <w:tcW w:type="dxa" w:w="2160"/>
          </w:tcPr>
          <w:p>
            <w:r>
              <w:t>N_full</w:t>
            </w:r>
          </w:p>
        </w:tc>
      </w:tr>
      <w:tr>
        <w:tc>
          <w:tcPr>
            <w:tcW w:type="dxa" w:w="2160"/>
          </w:tcPr>
          <w:p>
            <w:r>
              <w:t>BT1</w:t>
            </w:r>
          </w:p>
        </w:tc>
        <w:tc>
          <w:tcPr>
            <w:tcW w:type="dxa" w:w="2160"/>
          </w:tcPr>
          <w:p>
            <w:r>
              <w:t>Study e-commerce curriculum &amp; learning outcomes; factual completeness + sourcing</w:t>
            </w:r>
          </w:p>
        </w:tc>
        <w:tc>
          <w:tcPr>
            <w:tcW w:type="dxa" w:w="2160"/>
          </w:tcPr>
          <w:p>
            <w:r>
              <w:t>DOCX/PDF/TXT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BT2</w:t>
            </w:r>
          </w:p>
        </w:tc>
        <w:tc>
          <w:tcPr>
            <w:tcW w:type="dxa" w:w="2160"/>
          </w:tcPr>
          <w:p>
            <w:r>
              <w:t>Survey job market for 2 positions; analyze JD/skills/gaps</w:t>
            </w:r>
          </w:p>
        </w:tc>
        <w:tc>
          <w:tcPr>
            <w:tcW w:type="dxa" w:w="2160"/>
          </w:tcPr>
          <w:p>
            <w:r>
              <w:t>DOCX/PDF/TXT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BT3</w:t>
            </w:r>
          </w:p>
        </w:tc>
        <w:tc>
          <w:tcPr>
            <w:tcW w:type="dxa" w:w="2160"/>
          </w:tcPr>
          <w:p>
            <w:r>
              <w:t>Write 2 CVs for 2 positions; mapping CV↔JD + format/language</w:t>
            </w:r>
          </w:p>
        </w:tc>
        <w:tc>
          <w:tcPr>
            <w:tcW w:type="dxa" w:w="2160"/>
          </w:tcPr>
          <w:p>
            <w:r>
              <w:t>PDF/DOCX/images (OCR for scans)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BT4</w:t>
            </w:r>
          </w:p>
        </w:tc>
        <w:tc>
          <w:tcPr>
            <w:tcW w:type="dxa" w:w="2160"/>
          </w:tcPr>
          <w:p>
            <w:r>
              <w:t>Essay: personal career roadmap with required structure</w:t>
            </w:r>
          </w:p>
        </w:tc>
        <w:tc>
          <w:tcPr>
            <w:tcW w:type="dxa" w:w="2160"/>
          </w:tcPr>
          <w:p>
            <w:r>
              <w:t>PDF/DOCX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</w:tbl>
    <w:p>
      <w:pPr>
        <w:pStyle w:val="Heading2"/>
      </w:pPr>
      <w:r>
        <w:t>4.2 Human subset and metrics</w:t>
      </w:r>
    </w:p>
    <w:p>
      <w:r>
        <w:t>Two human graders score a stratified subset (N=30 per assignment) selected to cover performance bands (high/medium/low) based on Phase-1 scores. Ground truth (GT) is defined as the mean of the two human scores. We report inter-rater QWK and AI-vs-GT metrics (QWK/MAE/Pearson) with 95% bootstrap CIs.</w:t>
      </w:r>
    </w:p>
    <w:p>
      <w:pPr>
        <w:pStyle w:val="Heading1"/>
      </w:pPr>
      <w:r>
        <w:t>5 Results</w:t>
      </w:r>
    </w:p>
    <w:p>
      <w:pPr>
        <w:pStyle w:val="Heading2"/>
      </w:pPr>
      <w:r>
        <w:t>5.1 Human agreement + Phase 1 (Table 1a)</w:t>
      </w:r>
    </w:p>
    <w:p>
      <w:r>
        <w:t>Table 1a reports human agreement and Phase 1 vs GT with 95% bootstrap confidence intervals (N=30 per assignment).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BT</w:t>
            </w:r>
          </w:p>
        </w:tc>
        <w:tc>
          <w:tcPr>
            <w:tcW w:type="dxa" w:w="1728"/>
          </w:tcPr>
          <w:p>
            <w:r>
              <w:t>Human QWK [CI]</w:t>
            </w:r>
          </w:p>
        </w:tc>
        <w:tc>
          <w:tcPr>
            <w:tcW w:type="dxa" w:w="1728"/>
          </w:tcPr>
          <w:p>
            <w:r>
              <w:t>P1 QWK [CI]</w:t>
            </w:r>
          </w:p>
        </w:tc>
        <w:tc>
          <w:tcPr>
            <w:tcW w:type="dxa" w:w="1728"/>
          </w:tcPr>
          <w:p>
            <w:r>
              <w:t>P1 MAE [CI]</w:t>
            </w:r>
          </w:p>
        </w:tc>
        <w:tc>
          <w:tcPr>
            <w:tcW w:type="dxa" w:w="1728"/>
          </w:tcPr>
          <w:p>
            <w:r>
              <w:t>P1 r [CI]</w:t>
            </w:r>
          </w:p>
        </w:tc>
      </w:tr>
      <w:tr>
        <w:tc>
          <w:tcPr>
            <w:tcW w:type="dxa" w:w="1728"/>
          </w:tcPr>
          <w:p>
            <w:r>
              <w:t>BT1</w:t>
            </w:r>
          </w:p>
        </w:tc>
        <w:tc>
          <w:tcPr>
            <w:tcW w:type="dxa" w:w="1728"/>
          </w:tcPr>
          <w:p>
            <w:r>
              <w:t>0.698 [0.464, 0.811]</w:t>
            </w:r>
          </w:p>
        </w:tc>
        <w:tc>
          <w:tcPr>
            <w:tcW w:type="dxa" w:w="1728"/>
          </w:tcPr>
          <w:p>
            <w:r>
              <w:t>0.484 [0.273, 0.627]</w:t>
            </w:r>
          </w:p>
        </w:tc>
        <w:tc>
          <w:tcPr>
            <w:tcW w:type="dxa" w:w="1728"/>
          </w:tcPr>
          <w:p>
            <w:r>
              <w:t>1.108 [0.892, 1.333]</w:t>
            </w:r>
          </w:p>
        </w:tc>
        <w:tc>
          <w:tcPr>
            <w:tcW w:type="dxa" w:w="1728"/>
          </w:tcPr>
          <w:p>
            <w:r>
              <w:t>0.808 [0.681, 0.892]</w:t>
            </w:r>
          </w:p>
        </w:tc>
      </w:tr>
      <w:tr>
        <w:tc>
          <w:tcPr>
            <w:tcW w:type="dxa" w:w="1728"/>
          </w:tcPr>
          <w:p>
            <w:r>
              <w:t>BT2</w:t>
            </w:r>
          </w:p>
        </w:tc>
        <w:tc>
          <w:tcPr>
            <w:tcW w:type="dxa" w:w="1728"/>
          </w:tcPr>
          <w:p>
            <w:r>
              <w:t>0.684 [0.469, 0.802]</w:t>
            </w:r>
          </w:p>
        </w:tc>
        <w:tc>
          <w:tcPr>
            <w:tcW w:type="dxa" w:w="1728"/>
          </w:tcPr>
          <w:p>
            <w:r>
              <w:t>0.331 [0.164, 0.443]</w:t>
            </w:r>
          </w:p>
        </w:tc>
        <w:tc>
          <w:tcPr>
            <w:tcW w:type="dxa" w:w="1728"/>
          </w:tcPr>
          <w:p>
            <w:r>
              <w:t>1.375 [1.142, 1.600]</w:t>
            </w:r>
          </w:p>
        </w:tc>
        <w:tc>
          <w:tcPr>
            <w:tcW w:type="dxa" w:w="1728"/>
          </w:tcPr>
          <w:p>
            <w:r>
              <w:t>0.694 [0.411, 0.860]</w:t>
            </w:r>
          </w:p>
        </w:tc>
      </w:tr>
      <w:tr>
        <w:tc>
          <w:tcPr>
            <w:tcW w:type="dxa" w:w="1728"/>
          </w:tcPr>
          <w:p>
            <w:r>
              <w:t>BT3</w:t>
            </w:r>
          </w:p>
        </w:tc>
        <w:tc>
          <w:tcPr>
            <w:tcW w:type="dxa" w:w="1728"/>
          </w:tcPr>
          <w:p>
            <w:r>
              <w:t>0.671 [0.440, 0.835]</w:t>
            </w:r>
          </w:p>
        </w:tc>
        <w:tc>
          <w:tcPr>
            <w:tcW w:type="dxa" w:w="1728"/>
          </w:tcPr>
          <w:p>
            <w:r>
              <w:t>0.827 [0.664, 0.904]</w:t>
            </w:r>
          </w:p>
        </w:tc>
        <w:tc>
          <w:tcPr>
            <w:tcW w:type="dxa" w:w="1728"/>
          </w:tcPr>
          <w:p>
            <w:r>
              <w:t>0.775 [0.550, 1.042]</w:t>
            </w:r>
          </w:p>
        </w:tc>
        <w:tc>
          <w:tcPr>
            <w:tcW w:type="dxa" w:w="1728"/>
          </w:tcPr>
          <w:p>
            <w:r>
              <w:t>0.897 [0.807, 0.960]</w:t>
            </w:r>
          </w:p>
        </w:tc>
      </w:tr>
      <w:tr>
        <w:tc>
          <w:tcPr>
            <w:tcW w:type="dxa" w:w="1728"/>
          </w:tcPr>
          <w:p>
            <w:r>
              <w:t>BT4</w:t>
            </w:r>
          </w:p>
        </w:tc>
        <w:tc>
          <w:tcPr>
            <w:tcW w:type="dxa" w:w="1728"/>
          </w:tcPr>
          <w:p>
            <w:r>
              <w:t>0.628 [0.301, 0.791]</w:t>
            </w:r>
          </w:p>
        </w:tc>
        <w:tc>
          <w:tcPr>
            <w:tcW w:type="dxa" w:w="1728"/>
          </w:tcPr>
          <w:p>
            <w:r>
              <w:t>0.720 [0.587, 0.799]</w:t>
            </w:r>
          </w:p>
        </w:tc>
        <w:tc>
          <w:tcPr>
            <w:tcW w:type="dxa" w:w="1728"/>
          </w:tcPr>
          <w:p>
            <w:r>
              <w:t>0.575 [0.442, 0.725]</w:t>
            </w:r>
          </w:p>
        </w:tc>
        <w:tc>
          <w:tcPr>
            <w:tcW w:type="dxa" w:w="1728"/>
          </w:tcPr>
          <w:p>
            <w:r>
              <w:t>0.753 [0.630, 0.861]</w:t>
            </w:r>
          </w:p>
        </w:tc>
      </w:tr>
    </w:tbl>
    <w:p>
      <w:pPr>
        <w:pStyle w:val="Heading2"/>
      </w:pPr>
      <w:r>
        <w:t>5.2 Phase 2 (Table 1b)</w:t>
      </w:r>
    </w:p>
    <w:p>
      <w:r>
        <w:t>Table 1b reports Phase 2 vs GT with 95% bootstrap confidence intervals (N=30 per assignment).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BT</w:t>
            </w:r>
          </w:p>
        </w:tc>
        <w:tc>
          <w:tcPr>
            <w:tcW w:type="dxa" w:w="2160"/>
          </w:tcPr>
          <w:p>
            <w:r>
              <w:t>P2 QWK [CI]</w:t>
            </w:r>
          </w:p>
        </w:tc>
        <w:tc>
          <w:tcPr>
            <w:tcW w:type="dxa" w:w="2160"/>
          </w:tcPr>
          <w:p>
            <w:r>
              <w:t>P2 MAE [CI]</w:t>
            </w:r>
          </w:p>
        </w:tc>
        <w:tc>
          <w:tcPr>
            <w:tcW w:type="dxa" w:w="2160"/>
          </w:tcPr>
          <w:p>
            <w:r>
              <w:t>P2 r [CI]</w:t>
            </w:r>
          </w:p>
        </w:tc>
      </w:tr>
      <w:tr>
        <w:tc>
          <w:tcPr>
            <w:tcW w:type="dxa" w:w="2160"/>
          </w:tcPr>
          <w:p>
            <w:r>
              <w:t>BT1</w:t>
            </w:r>
          </w:p>
        </w:tc>
        <w:tc>
          <w:tcPr>
            <w:tcW w:type="dxa" w:w="2160"/>
          </w:tcPr>
          <w:p>
            <w:r>
              <w:t>0.043 [-0.026, 0.142]</w:t>
            </w:r>
          </w:p>
        </w:tc>
        <w:tc>
          <w:tcPr>
            <w:tcW w:type="dxa" w:w="2160"/>
          </w:tcPr>
          <w:p>
            <w:r>
              <w:t>1.842 [1.517, 2.158]</w:t>
            </w:r>
          </w:p>
        </w:tc>
        <w:tc>
          <w:tcPr>
            <w:tcW w:type="dxa" w:w="2160"/>
          </w:tcPr>
          <w:p>
            <w:r>
              <w:t>0.225 [-0.115, 0.557]</w:t>
            </w:r>
          </w:p>
        </w:tc>
      </w:tr>
      <w:tr>
        <w:tc>
          <w:tcPr>
            <w:tcW w:type="dxa" w:w="2160"/>
          </w:tcPr>
          <w:p>
            <w:r>
              <w:t>BT2</w:t>
            </w:r>
          </w:p>
        </w:tc>
        <w:tc>
          <w:tcPr>
            <w:tcW w:type="dxa" w:w="2160"/>
          </w:tcPr>
          <w:p>
            <w:r>
              <w:t>-0.002 [-0.237, 0.244]</w:t>
            </w:r>
          </w:p>
        </w:tc>
        <w:tc>
          <w:tcPr>
            <w:tcW w:type="dxa" w:w="2160"/>
          </w:tcPr>
          <w:p>
            <w:r>
              <w:t>0.958 [0.708, 1.250]</w:t>
            </w:r>
          </w:p>
        </w:tc>
        <w:tc>
          <w:tcPr>
            <w:tcW w:type="dxa" w:w="2160"/>
          </w:tcPr>
          <w:p>
            <w:r>
              <w:t>-0.010 [-0.356, 0.337]</w:t>
            </w:r>
          </w:p>
        </w:tc>
      </w:tr>
      <w:tr>
        <w:tc>
          <w:tcPr>
            <w:tcW w:type="dxa" w:w="2160"/>
          </w:tcPr>
          <w:p>
            <w:r>
              <w:t>BT3</w:t>
            </w:r>
          </w:p>
        </w:tc>
        <w:tc>
          <w:tcPr>
            <w:tcW w:type="dxa" w:w="2160"/>
          </w:tcPr>
          <w:p>
            <w:r>
              <w:t>0.613 [0.405, 0.747]</w:t>
            </w:r>
          </w:p>
        </w:tc>
        <w:tc>
          <w:tcPr>
            <w:tcW w:type="dxa" w:w="2160"/>
          </w:tcPr>
          <w:p>
            <w:r>
              <w:t>1.058 [0.833, 1.300]</w:t>
            </w:r>
          </w:p>
        </w:tc>
        <w:tc>
          <w:tcPr>
            <w:tcW w:type="dxa" w:w="2160"/>
          </w:tcPr>
          <w:p>
            <w:r>
              <w:t>0.673 [0.509, 0.837]</w:t>
            </w:r>
          </w:p>
        </w:tc>
      </w:tr>
      <w:tr>
        <w:tc>
          <w:tcPr>
            <w:tcW w:type="dxa" w:w="2160"/>
          </w:tcPr>
          <w:p>
            <w:r>
              <w:t>BT4</w:t>
            </w:r>
          </w:p>
        </w:tc>
        <w:tc>
          <w:tcPr>
            <w:tcW w:type="dxa" w:w="2160"/>
          </w:tcPr>
          <w:p>
            <w:r>
              <w:t>0.517 [0.262, 0.698]</w:t>
            </w:r>
          </w:p>
        </w:tc>
        <w:tc>
          <w:tcPr>
            <w:tcW w:type="dxa" w:w="2160"/>
          </w:tcPr>
          <w:p>
            <w:r>
              <w:t>0.608 [0.467, 0.750]</w:t>
            </w:r>
          </w:p>
        </w:tc>
        <w:tc>
          <w:tcPr>
            <w:tcW w:type="dxa" w:w="2160"/>
          </w:tcPr>
          <w:p>
            <w:r>
              <w:t>0.553 [0.324, 0.725]</w:t>
            </w:r>
          </w:p>
        </w:tc>
      </w:tr>
    </w:tbl>
    <w:p>
      <w:pPr>
        <w:pStyle w:val="Heading2"/>
      </w:pPr>
      <w:r>
        <w:t>5.3 Score shifts and stability signals (Table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BT</w:t>
            </w:r>
          </w:p>
        </w:tc>
        <w:tc>
          <w:tcPr>
            <w:tcW w:type="dxa" w:w="1440"/>
          </w:tcPr>
          <w:p>
            <w:r>
              <w:t>N_full</w:t>
            </w:r>
          </w:p>
        </w:tc>
        <w:tc>
          <w:tcPr>
            <w:tcW w:type="dxa" w:w="1440"/>
          </w:tcPr>
          <w:p>
            <w:r>
              <w:t>mean(P2−P1)</w:t>
            </w:r>
          </w:p>
        </w:tc>
        <w:tc>
          <w:tcPr>
            <w:tcW w:type="dxa" w:w="1440"/>
          </w:tcPr>
          <w:p>
            <w:r>
              <w:t>median(P2−P1)</w:t>
            </w:r>
          </w:p>
        </w:tc>
        <w:tc>
          <w:tcPr>
            <w:tcW w:type="dxa" w:w="1440"/>
          </w:tcPr>
          <w:p>
            <w:r>
              <w:t>veto rate</w:t>
            </w:r>
          </w:p>
        </w:tc>
        <w:tc>
          <w:tcPr>
            <w:tcW w:type="dxa" w:w="1440"/>
          </w:tcPr>
          <w:p>
            <w:r>
              <w:t>mean spread</w:t>
            </w:r>
          </w:p>
        </w:tc>
      </w:tr>
      <w:tr>
        <w:tc>
          <w:tcPr>
            <w:tcW w:type="dxa" w:w="1440"/>
          </w:tcPr>
          <w:p>
            <w:r>
              <w:t>BT1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-0.836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5.150</w:t>
            </w:r>
          </w:p>
        </w:tc>
      </w:tr>
      <w:tr>
        <w:tc>
          <w:tcPr>
            <w:tcW w:type="dxa" w:w="1440"/>
          </w:tcPr>
          <w:p>
            <w:r>
              <w:t>BT2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1.787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0.922</w:t>
            </w:r>
          </w:p>
        </w:tc>
        <w:tc>
          <w:tcPr>
            <w:tcW w:type="dxa" w:w="1440"/>
          </w:tcPr>
          <w:p>
            <w:r>
              <w:t>3.387</w:t>
            </w:r>
          </w:p>
        </w:tc>
      </w:tr>
      <w:tr>
        <w:tc>
          <w:tcPr>
            <w:tcW w:type="dxa" w:w="1440"/>
          </w:tcPr>
          <w:p>
            <w:r>
              <w:t>BT3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-0.943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  <w:tc>
          <w:tcPr>
            <w:tcW w:type="dxa" w:w="1440"/>
          </w:tcPr>
          <w:p>
            <w:r>
              <w:t>2.653</w:t>
            </w:r>
          </w:p>
        </w:tc>
      </w:tr>
      <w:tr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-0.889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  <w:tc>
          <w:tcPr>
            <w:tcW w:type="dxa" w:w="1440"/>
          </w:tcPr>
          <w:p>
            <w:r>
              <w:t>1.133</w:t>
            </w:r>
          </w:p>
        </w:tc>
      </w:tr>
    </w:tbl>
    <w:p>
      <w:pPr>
        <w:pStyle w:val="Heading2"/>
      </w:pPr>
      <w:r>
        <w:t>5.4 Visualization (Figures 2a/2b)</w:t>
      </w:r>
    </w:p>
    <w:p>
      <w:r>
        <w:t>Figure 2a: Phase 1 vs GT scatter plots (N=30 per assignment).</w:t>
      </w:r>
    </w:p>
    <w:p>
      <w:r>
        <w:drawing>
          <wp:inline xmlns:a="http://schemas.openxmlformats.org/drawingml/2006/main" xmlns:pic="http://schemas.openxmlformats.org/drawingml/2006/picture">
            <wp:extent cx="6217920" cy="152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a_scatter_p1_vs_g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2b: Phase 2 vs GT scatter plots (N=30 per assignment).</w:t>
      </w:r>
    </w:p>
    <w:p>
      <w:r>
        <w:drawing>
          <wp:inline xmlns:a="http://schemas.openxmlformats.org/drawingml/2006/main" xmlns:pic="http://schemas.openxmlformats.org/drawingml/2006/picture">
            <wp:extent cx="6217920" cy="1529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b_scatter_p2_vs_g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Cohen, J.: Weighted kappa: Nominal scale agreement with provision for scaled disagreement or partial credit. Psychological Bulletin 70(4), 213–220 (1968).</w:t>
      </w:r>
    </w:p>
    <w:p>
      <w:r>
        <w:t>[2] Landis, J.R., Koch, G.G.: The measurement of observer agreement for categorical data. Biometrics 33(1), 159–174 (1977).</w:t>
      </w:r>
    </w:p>
    <w:p>
      <w:r>
        <w:t>[3] Williamson, D.M., Xi, X., Breyer, F.J.: A framework for evaluation and use of automated scoring. Educational Measurement: Issues and Practice 31(1), 2–13 (2012).</w:t>
      </w:r>
    </w:p>
    <w:p>
      <w:r>
        <w:t>[4] Shermis, M.D., Burstein, J. (eds.): Handbook of Automated Essay Evaluation: Current Applications and New Directions. Routledge (2013).</w:t>
      </w:r>
    </w:p>
    <w:p>
      <w:r>
        <w:t>[5] Beigman Klebanov, B., Madnani, N.: Automated Essay Scoring. Synthesis Lectures in Human Language Technologies. Morgan &amp; Claypool (2021).</w:t>
      </w:r>
    </w:p>
    <w:p>
      <w:r>
        <w:t>[6] Attali, Y., Burstein, J.: Automated essay scoring with e-rater® V.2. Journal of Technology, Learning, and Assessment 4(3) (2006).</w:t>
      </w:r>
    </w:p>
    <w:p>
      <w:r>
        <w:t>[7] Hewlett Foundation (ASAP). Automated Student Assessment Prize (ASAP) AES benchmark (Kaggle competition). https://www.kaggle.com/c/asap-aes (accessed 2026-05-01).</w:t>
      </w:r>
    </w:p>
    <w:p>
      <w:r>
        <w:t>[8] Taghipour, K., Ng, H.T.: A neural approach to automated essay scoring. In: Proceedings of EMNLP 2016, pp. 1882–1891. ACL (2016).</w:t>
      </w:r>
    </w:p>
    <w:p>
      <w:r>
        <w:t>[9] Ke, Z., Ng, V.: Automated essay scoring: A survey of the state of the art. In: Proceedings of IJCAI 2019, pp. 6300–6308 (2019).</w:t>
      </w:r>
    </w:p>
    <w:p>
      <w:r>
        <w:t>[10] Mizumoto, A., Eguchi, M.: Exploring the potential of using an AI language model for automated essay scoring. Research Methods in Applied Linguistics 2(2), 100050 (2023). https://doi.org/10.1016/j.rmal.2023.100050</w:t>
      </w:r>
    </w:p>
    <w:p>
      <w:r>
        <w:t>[11] Esterhuysen, H., et al.: Large language models in student assessment: Comparing ChatGPT and human graders. arXiv:2406.16510 (2024).</w:t>
      </w:r>
    </w:p>
    <w:p>
      <w:r>
        <w:t>[12] Meyer, L., et al.: Reliable but not rigorous: Evaluating ChatGPT's reliability, validity, and bias in automated academic grading. Computers and Education: Artificial Intelligence (2025).</w:t>
      </w:r>
    </w:p>
    <w:p>
      <w:r>
        <w:t>[13] Hakala, K., et al.: Automated refinement of essay scoring rubrics for language models via Reflect-and-Revise. arXiv:2510.09030 (2025).</w:t>
      </w:r>
    </w:p>
    <w:p>
      <w:r>
        <w:t>[14] Seßler, K., et al.: Specialists or generalists? Multi-agent and single-agent LLMs for essay grading. arXiv:2601.22386 (2026).</w:t>
      </w:r>
    </w:p>
    <w:p>
      <w:r>
        <w:t>[15] Wang, Y., et al.: AutoSCORE: Enhancing automated scoring with multi-agent large language models via structured component recognition. arXiv:2509.21910 (2025).</w:t>
      </w:r>
    </w:p>
    <w:p>
      <w:r>
        <w:t>[16] Fleiss, J.L., Cohen, J.: The equivalence of weighted kappa and the intraclass correlation coefficient as measures of reliability. Educational and Psychological Measurement 33(3), 613–619 (1973).</w:t>
      </w:r>
    </w:p>
    <w:p>
      <w:r>
        <w:t>[17] OpenAI: API reference for Chat Completions (accessed via internal proxy in this work). https://platform.openai.com/docs/api-reference/chat (accessed 2026-05-01).</w:t>
      </w:r>
    </w:p>
    <w:p>
      <w:r>
        <w:t>[18] OpenClaw Framework. Documentation: https://docs.openclaw.ai ; Source: https://github.com/openclaw/openclaw (accessed 2026-05-01).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