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Quant project 4 of 10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3A5F"/>
          <w:sz w:val="44"/>
          <w:szCs w:val="44"/>
        </w:rPr>
        <w:t xml:space="preserve">Performance and Risk Attribution Engine</w:t>
      </w:r>
    </w:p>
    <w:p>
      <w:pPr>
        <w:pBdr>
          <w:bottom w:val="single" w:color="1F3A5F" w:sz="8" w:space="6"/>
        </w:pBdr>
        <w:spacing w:after="200"/>
      </w:pPr>
      <w:r>
        <w:rPr>
          <w:rFonts w:ascii="Calibri" w:cs="Calibri" w:eastAsia="Calibri" w:hAnsi="Calibri"/>
          <w:i/>
          <w:iCs/>
          <w:color w:val="6B7280"/>
          <w:sz w:val="24"/>
          <w:szCs w:val="24"/>
        </w:rPr>
        <w:t xml:space="preserve">Brinson, factor and risk attribution on real 13F holdings, delivered as holdings-in report-out</w:t>
      </w:r>
    </w:p>
    <w:tbl>
      <w:tblPr>
        <w:tblW w:type="dxa" w:w="9300"/>
        <w:tblBorders>
          <w:top w:val="single" w:color="BFC7D1" w:sz="4"/>
          <w:left w:val="single" w:color="BFC7D1" w:sz="4"/>
          <w:bottom w:val="single" w:color="BFC7D1" w:sz="4"/>
          <w:right w:val="single" w:color="BFC7D1" w:sz="4"/>
          <w:insideH w:val="single" w:color="BFC7D1" w:sz="4"/>
          <w:insideV w:val="single" w:color="BFC7D1" w:sz="4"/>
        </w:tblBorders>
      </w:tblPr>
      <w:tblGrid>
        <w:gridCol w:w="1300"/>
        <w:gridCol w:w="1300"/>
        <w:gridCol w:w="1400"/>
        <w:gridCol w:w="3300"/>
        <w:gridCol w:w="2000"/>
      </w:tblGrid>
      <w:tr>
        <w:tc>
          <w:tcPr>
            <w:tcW w:type="dxa" w:w="0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Priority</w:t>
            </w:r>
          </w:p>
        </w:tc>
        <w:tc>
          <w:tcPr>
            <w:tcW w:type="dxa" w:w="0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Data cost</w:t>
            </w:r>
          </w:p>
        </w:tc>
        <w:tc>
          <w:tcPr>
            <w:tcW w:type="dxa" w:w="0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Build time</w:t>
            </w:r>
          </w:p>
        </w:tc>
        <w:tc>
          <w:tcPr>
            <w:tcW w:type="dxa" w:w="0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Target roles</w:t>
            </w:r>
          </w:p>
        </w:tc>
        <w:tc>
          <w:tcPr>
            <w:tcW w:type="dxa" w:w="0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Feeds into</w:t>
            </w:r>
          </w:p>
        </w:tc>
      </w:tr>
      <w:tr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Build second (LCIP)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Free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 to 3 weeks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Portfolio analytics, implementation, performance and risk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Uses 1 and 3</w:t>
            </w:r>
          </w:p>
        </w:tc>
      </w:tr>
    </w:tbl>
    <w:p>
      <w:pPr>
        <w:spacing w:after="120"/>
      </w:pP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1. What this project is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An attribution engine that takes a fund's quarterly holdings (from SEC 13F filings), a benchmark's holdings (from a free ETF holdings file), sector maps and prices, and explains the fund's excess return through allocation, selection and factor tilts, with multi-period linking and a risk decomposition. It ends as a function: holdings in, PDF report out.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Attribution is the Portfolio Analyst job you did for years, and almost no candidate has a working version on GitHub because the data seems hard to get. It is not: 13F filings and ETF holdings files are free.</w:t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2. What we are trying to find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For 2 or 3 well-known long-only funds, how much of the excess return over 5 years came from sector allocation versus stock selection?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How much of the fund's return is explained by exposure to size, value, momentum and quality, and how much is residual?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How concentrated is the fund's risk, and which positions contribute most to tracking error?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How much do quarterly holdings snapshots misstate performance versus reported fund returns (the reconstruction error), and what does that say about intra-quarter trading?</w:t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3. The task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Pick 2 or 3 funds with concentrated US equity books and a clear benchmark, for example a large active manager and a smaller boutique. Download their 13F-HR filings from EDGAR for 2019 to 2026.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Parse the XML information tables into a holdings DataFrame: CUSIP, name, value, shares, filing date, period date.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Map CUSIP to ticker (EDGAR company facts, or the SEC's ticker file) and to sector via SIC code.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Download benchmark holdings from an ETF issuer (iShares publishes daily IVV holdings as CSV; keep a quarterly snapshot).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Compute quarterly sector weights and returns for fund and benchmark; run Brinson-Fachler each quarter; link across quarters.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Run a returns-based factor regression on the reconstructed fund return series and a holdings-based exposure calculation.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Compute active share, tracking error, marginal and total risk contributions by position and sector using the project 3 covariance module.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Generate the PDF report with tables and charts; make it run for any holdings file.</w:t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4. Data</w:t>
      </w:r>
    </w:p>
    <w:tbl>
      <w:tblPr>
        <w:tblW w:type="dxa" w:w="9300"/>
        <w:tblBorders>
          <w:top w:val="single" w:color="BFC7D1" w:sz="4"/>
          <w:left w:val="single" w:color="BFC7D1" w:sz="4"/>
          <w:bottom w:val="single" w:color="BFC7D1" w:sz="4"/>
          <w:right w:val="single" w:color="BFC7D1" w:sz="4"/>
          <w:insideH w:val="single" w:color="BFC7D1" w:sz="4"/>
          <w:insideV w:val="single" w:color="BFC7D1" w:sz="4"/>
        </w:tblBorders>
      </w:tblPr>
      <w:tblGrid>
        <w:gridCol w:w="2200"/>
        <w:gridCol w:w="3400"/>
        <w:gridCol w:w="3700"/>
      </w:tblGrid>
      <w:tr>
        <w:tc>
          <w:tcPr>
            <w:tcW w:type="dxa" w:w="0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Need</w:t>
            </w:r>
          </w:p>
        </w:tc>
        <w:tc>
          <w:tcPr>
            <w:tcW w:type="dxa" w:w="0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Source</w:t>
            </w:r>
          </w:p>
        </w:tc>
        <w:tc>
          <w:tcPr>
            <w:tcW w:type="dxa" w:w="0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Fund holdings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EDGAR full-text search for 13F-HR; XML information table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Filed within 45 days of quarter end; long US equity positions only</w:t>
            </w:r>
          </w:p>
        </w:tc>
      </w:tr>
      <w:tr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Benchmark holdings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iShares IVV or IWB holdings CSV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Daily file; keep quarter-end snapshots</w:t>
            </w:r>
          </w:p>
        </w:tc>
      </w:tr>
      <w:tr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Prices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yfinance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Quarterly and daily returns</w:t>
            </w:r>
          </w:p>
        </w:tc>
      </w:tr>
      <w:tr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CUSIP to ticker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SEC company_tickers.json plus EDGAR company facts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Some CUSIPs will not map; log them</w:t>
            </w:r>
          </w:p>
        </w:tc>
      </w:tr>
      <w:tr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Sector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SIC codes via EDGAR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Map to 11 buckets</w:t>
            </w:r>
          </w:p>
        </w:tc>
      </w:tr>
      <w:tr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Factor returns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Ken French library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FF5 plus momentum, monthly</w:t>
            </w:r>
          </w:p>
        </w:tc>
      </w:tr>
    </w:tbl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5. What you should learn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Brinson-Fachler versus Brinson-Hood-Beebower, and why the Fachler form of allocation (relative to total benchmark return) is the one used in practice.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Multi-period linking: why arithmetic attribution effects do not compound, and the Carino and Menchero methods that fix it.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Returns-based versus holdings-based factor attribution, and what each misses.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Active share and tracking error as complementary measures of activeness.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Euler risk decomposition and component tracking error.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The limits of 13F data: no shorts, no derivatives, no non-US listings, 45-day lag, quarterly snapshots.</w:t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6. Methods and the maths</w:t>
      </w:r>
    </w:p>
    <w:p>
      <w:pPr>
        <w:pStyle w:val="Heading2"/>
        <w:spacing w:after="80" w:before="22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6.1 Brinson-Fachler single period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With sector weights w and sector returns r for fund P and benchmark B, and total benchmark return r_B:</w:t>
      </w:r>
    </w:p>
    <w:p>
      <w:pPr>
        <w:spacing w:after="160" w:before="100" w:line="320"/>
        <w:ind w:left="720"/>
      </w:pPr>
      <w:r>
        <w:rPr>
          <w:rFonts w:ascii="Cambria Math" w:cs="Cambria Math" w:eastAsia="Cambria Math" w:hAnsi="Cambria Math"/>
          <w:sz w:val="23"/>
          <w:szCs w:val="23"/>
        </w:rPr>
        <w:t xml:space="preserve">Allocation_s = ( w_s^P − w_s^B ) ( r_s^B − r_B )</w:t>
      </w:r>
    </w:p>
    <w:p>
      <w:pPr>
        <w:spacing w:after="160" w:before="100" w:line="320"/>
        <w:ind w:left="720"/>
      </w:pPr>
      <w:r>
        <w:rPr>
          <w:rFonts w:ascii="Cambria Math" w:cs="Cambria Math" w:eastAsia="Cambria Math" w:hAnsi="Cambria Math"/>
          <w:sz w:val="23"/>
          <w:szCs w:val="23"/>
        </w:rPr>
        <w:t xml:space="preserve">Selection_s = w_s^B ( r_s^P − r_s^B )</w:t>
      </w:r>
    </w:p>
    <w:p>
      <w:pPr>
        <w:spacing w:after="160" w:before="100" w:line="320"/>
        <w:ind w:left="720"/>
      </w:pPr>
      <w:r>
        <w:rPr>
          <w:rFonts w:ascii="Cambria Math" w:cs="Cambria Math" w:eastAsia="Cambria Math" w:hAnsi="Cambria Math"/>
          <w:sz w:val="23"/>
          <w:szCs w:val="23"/>
        </w:rPr>
        <w:t xml:space="preserve">Interaction_s = ( w_s^P − w_s^B ) ( r_s^P − r_s^B )</w:t>
      </w:r>
    </w:p>
    <w:p>
      <w:pPr>
        <w:spacing w:after="40" w:before="100" w:line="320"/>
        <w:ind w:left="720"/>
      </w:pPr>
      <w:r>
        <w:rPr>
          <w:rFonts w:ascii="Cambria Math" w:cs="Cambria Math" w:eastAsia="Cambria Math" w:hAnsi="Cambria Math"/>
          <w:sz w:val="23"/>
          <w:szCs w:val="23"/>
        </w:rPr>
        <w:t xml:space="preserve">Σ_s ( Allocation_s + Selection_s + Interaction_s ) = r_P − r_B</w:t>
      </w:r>
    </w:p>
    <w:p>
      <w:pPr>
        <w:spacing w:after="160" w:before="40" w:line="260"/>
        <w:ind w:left="720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Verify this identity to 1e-10 in a unit test. Many implementations get the interaction term wrong.</w:t>
      </w:r>
    </w:p>
    <w:p>
      <w:pPr>
        <w:pStyle w:val="Heading2"/>
        <w:spacing w:after="80" w:before="22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6.2 Multi-period linking (Carino)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Arithmetic effects in period t sum to the arithmetic excess return r_P,t − r_B,t, but the cumulative excess return is geometric. Carino scales each period's effects by</w:t>
      </w:r>
    </w:p>
    <w:p>
      <w:pPr>
        <w:spacing w:after="160" w:before="100" w:line="320"/>
        <w:ind w:left="720"/>
      </w:pPr>
      <w:r>
        <w:rPr>
          <w:rFonts w:ascii="Cambria Math" w:cs="Cambria Math" w:eastAsia="Cambria Math" w:hAnsi="Cambria Math"/>
          <w:sz w:val="23"/>
          <w:szCs w:val="23"/>
        </w:rPr>
        <w:t xml:space="preserve">k_t = [ ln(1 + r_P,t) − ln(1 + r_B,t) ] / ( r_P,t − r_B,t )</w:t>
      </w:r>
    </w:p>
    <w:p>
      <w:pPr>
        <w:spacing w:after="40" w:before="100" w:line="320"/>
        <w:ind w:left="720"/>
      </w:pPr>
      <w:r>
        <w:rPr>
          <w:rFonts w:ascii="Cambria Math" w:cs="Cambria Math" w:eastAsia="Cambria Math" w:hAnsi="Cambria Math"/>
          <w:sz w:val="23"/>
          <w:szCs w:val="23"/>
        </w:rPr>
        <w:t xml:space="preserve">k = [ ln(1 + R_P) − ln(1 + R_B) ] / ( R_P − R_B )</w:t>
      </w:r>
    </w:p>
    <w:p>
      <w:pPr>
        <w:spacing w:after="160" w:before="40" w:line="260"/>
        <w:ind w:left="720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R is the cumulative return over all periods.</w:t>
      </w:r>
    </w:p>
    <w:p>
      <w:pPr>
        <w:spacing w:after="40" w:before="100" w:line="320"/>
        <w:ind w:left="720"/>
      </w:pPr>
      <w:r>
        <w:rPr>
          <w:rFonts w:ascii="Cambria Math" w:cs="Cambria Math" w:eastAsia="Cambria Math" w:hAnsi="Cambria Math"/>
          <w:sz w:val="23"/>
          <w:szCs w:val="23"/>
        </w:rPr>
        <w:t xml:space="preserve">Linked effect = Σ_t (k_t / k) × effect_t</w:t>
      </w:r>
    </w:p>
    <w:p>
      <w:pPr>
        <w:spacing w:after="160" w:before="40" w:line="260"/>
        <w:ind w:left="720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The linked effects sum exactly to R_P − R_B. Menchero's method is an alternative; implement both and show they agree to a few basis points.</w:t>
      </w:r>
    </w:p>
    <w:p>
      <w:pPr>
        <w:pStyle w:val="Heading2"/>
        <w:spacing w:after="80" w:before="22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6.3 Returns-based factor attribution</w:t>
      </w:r>
    </w:p>
    <w:p>
      <w:pPr>
        <w:spacing w:after="160" w:before="100" w:line="320"/>
        <w:ind w:left="720"/>
      </w:pPr>
      <w:r>
        <w:rPr>
          <w:rFonts w:ascii="Cambria Math" w:cs="Cambria Math" w:eastAsia="Cambria Math" w:hAnsi="Cambria Math"/>
          <w:sz w:val="23"/>
          <w:szCs w:val="23"/>
        </w:rPr>
        <w:t xml:space="preserve">r_P,t − r_f,t = α + β_M (Mkt−RF)_t + β_S SMB_t + β_V HML_t + β_R RMW_t + β_C CMA_t + β_U UMD_t + ε_t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Use rolling 36-month windows to show exposure drift. Contribution of factor j over a period is β_j times the factor return. Report R² and the residual's annualised vol; the residual is the part attribution cannot explain.</w:t>
      </w:r>
    </w:p>
    <w:p>
      <w:pPr>
        <w:pStyle w:val="Heading2"/>
        <w:spacing w:after="80" w:before="22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6.4 Holdings-based exposure</w:t>
      </w:r>
    </w:p>
    <w:p>
      <w:pPr>
        <w:spacing w:after="40" w:before="100" w:line="320"/>
        <w:ind w:left="720"/>
      </w:pPr>
      <w:r>
        <w:rPr>
          <w:rFonts w:ascii="Cambria Math" w:cs="Cambria Math" w:eastAsia="Cambria Math" w:hAnsi="Cambria Math"/>
          <w:sz w:val="23"/>
          <w:szCs w:val="23"/>
        </w:rPr>
        <w:t xml:space="preserve">β_P,j = Σ_i w_i β_i,j</w:t>
      </w:r>
    </w:p>
    <w:p>
      <w:pPr>
        <w:spacing w:after="160" w:before="40" w:line="260"/>
        <w:ind w:left="720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Estimate each stock's factor betas from 36 months of returns, or use characteristic z-scores from project 1 as exposures.</w:t>
      </w:r>
    </w:p>
    <w:p>
      <w:pPr>
        <w:pStyle w:val="Heading2"/>
        <w:spacing w:after="80" w:before="22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6.5 Active share and tracking error</w:t>
      </w:r>
    </w:p>
    <w:p>
      <w:pPr>
        <w:spacing w:after="160" w:before="100" w:line="320"/>
        <w:ind w:left="720"/>
      </w:pPr>
      <w:r>
        <w:rPr>
          <w:rFonts w:ascii="Cambria Math" w:cs="Cambria Math" w:eastAsia="Cambria Math" w:hAnsi="Cambria Math"/>
          <w:sz w:val="23"/>
          <w:szCs w:val="23"/>
        </w:rPr>
        <w:t xml:space="preserve">AS = ½ Σ_i | w_i^P − w_i^B |</w:t>
      </w:r>
    </w:p>
    <w:p>
      <w:pPr>
        <w:spacing w:after="160" w:before="100" w:line="320"/>
        <w:ind w:left="720"/>
      </w:pPr>
      <w:r>
        <w:rPr>
          <w:rFonts w:ascii="Cambria Math" w:cs="Cambria Math" w:eastAsia="Cambria Math" w:hAnsi="Cambria Math"/>
          <w:sz w:val="23"/>
          <w:szCs w:val="23"/>
        </w:rPr>
        <w:t xml:space="preserve">TE = √( (w^P − w^B)′ Σ (w^P − w^B) )</w:t>
      </w:r>
    </w:p>
    <w:p>
      <w:pPr>
        <w:pStyle w:val="Heading2"/>
        <w:spacing w:after="80" w:before="22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6.6 Risk decomposition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With active weights a = w^P − w^B:</w:t>
      </w:r>
    </w:p>
    <w:p>
      <w:pPr>
        <w:spacing w:after="40" w:before="100" w:line="320"/>
        <w:ind w:left="720"/>
      </w:pPr>
      <w:r>
        <w:rPr>
          <w:rFonts w:ascii="Cambria Math" w:cs="Cambria Math" w:eastAsia="Cambria Math" w:hAnsi="Cambria Math"/>
          <w:sz w:val="23"/>
          <w:szCs w:val="23"/>
        </w:rPr>
        <w:t xml:space="preserve">MCTE_i = (Σ a)_i / TE,   CTE_i = a_i × MCTE_i,   Σ_i CTE_i = TE</w:t>
      </w:r>
    </w:p>
    <w:p>
      <w:pPr>
        <w:spacing w:after="160" w:before="40" w:line="260"/>
        <w:ind w:left="720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Euler's theorem for homogeneous functions of degree 1. Report the top 10 CTE positions and the sector sums.</w:t>
      </w:r>
    </w:p>
    <w:p>
      <w:pPr>
        <w:pStyle w:val="Heading2"/>
        <w:spacing w:after="80" w:before="22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6.7 Reconstruction error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Compute the buy-and-hold return of the quarter-start holdings through the quarter and compare with the fund's reported return if available (from the fund's own fact sheet). The difference is the effect of intra-quarter trading, cash, fees and positions outside the 13F. Report it; it is the honest measure of what the data can and cannot see.</w:t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7. Build instructions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Modules: attrib/edgar.py (download and parse 13F), attrib/mapping.py (CUSIP, sector), attrib/brinson.py, attrib/linking.py, attrib/factors.py, attrib/risk.py, attrib/report.py.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Respect the SEC rate limit (10 requests per second) and set a User-Agent header with your email or you will be blocked.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Parse the XML information table with lxml; older filings before 2013 are text and not worth the effort.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Start with one fund and one quarter, hand-check 5 positions against the filing on the website.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Unit test the Brinson identity and the Carino linking identity.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Report generation with matplotlib and a simple HTML-to-PDF step (weasyprint), or docx via python-docx if you prefer Word.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Expose a single entry point: attribute(holdings_path, benchmark_path, start, end) → report path.</w:t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8. What the results should look like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Table 1: linked attribution over the full window: allocation, selection, interaction by sector, summing to the excess return.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Chart 1: cumulative allocation versus selection effect, one line each, over time.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Chart 2: rolling factor exposures (6 lines) over time.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Table 2: factor contribution to return and R² by year.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Chart 3: bar chart of the 15 largest component tracking error contributors.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Table 3: active share and tracking error by quarter.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Table 4: reconstruction error versus reported returns, by quarter.</w:t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9. Making it useful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The one-function interface is the point: an allocator or ops desk can run it on their own holdings. Say that.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For interviews, the reconstruction error table shows you know what the data cannot tell you, which is the mark of someone who has actually done attribution.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It uses project 3's covariance code and project 1's characteristic exposures, so the three projects read as one system.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Add a 2-page sample report for a named fund to the repo; a PDF is what gets forwarded.</w:t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10. Where it will break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CUSIP mapping gaps: expect 3 to 8% of positions to fail; report the unmapped weight per quarter.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Corporate actions between snapshots: mergers and spin-offs will create positions that appear from nowhere. Handle the top 20 by hand.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Fund benchmark mismatch: if you pick the wrong benchmark, allocation effects will be large and meaningless. Use the fund's stated benchmark.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Quarterly attribution on 28 quarters is a small sample; do not over-interpret selection skill.</w:t>
      </w:r>
    </w:p>
    <w:sectPr>
      <w:headerReference w:type="default" r:id="rId7"/>
      <w:footerReference w:type="default" r:id="rId8"/>
      <w:pgSz w:w="11906" w:h="16838" w:orient="portrait"/>
      <w:pgMar w:top="13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7280"/>
        <w:sz w:val="18"/>
        <w:szCs w:val="18"/>
      </w:rPr>
      <w:t xml:space="preserve">Utkarsh Malhotra — Attribution engine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2026-09-10T13:27:04.304Z</dcterms:created>
  <dcterms:modified xsi:type="dcterms:W3CDTF">2026-09-10T13:27:04.304Z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