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6B7280"/>
          <w:sz w:val="20"/>
          <w:szCs w:val="20"/>
        </w:rPr>
        <w:t xml:space="preserve">Quant project 3 of 10</w:t>
      </w:r>
    </w:p>
    <w:p>
      <w:pPr>
        <w:spacing w:after="80"/>
      </w:pPr>
      <w:r>
        <w:rPr>
          <w:rFonts w:ascii="Calibri" w:cs="Calibri" w:eastAsia="Calibri" w:hAnsi="Calibri"/>
          <w:b/>
          <w:bCs/>
          <w:color w:val="1F3A5F"/>
          <w:sz w:val="44"/>
          <w:szCs w:val="44"/>
        </w:rPr>
        <w:t xml:space="preserve">Constrained Portfolio Optimiser and Trade Generator</w:t>
      </w:r>
    </w:p>
    <w:p>
      <w:pPr>
        <w:pBdr>
          <w:bottom w:val="single" w:color="1F3A5F" w:sz="8" w:space="6"/>
        </w:pBdr>
        <w:spacing w:after="200"/>
      </w:pPr>
      <w:r>
        <w:rPr>
          <w:rFonts w:ascii="Calibri" w:cs="Calibri" w:eastAsia="Calibri" w:hAnsi="Calibri"/>
          <w:i/>
          <w:iCs/>
          <w:color w:val="6B7280"/>
          <w:sz w:val="24"/>
          <w:szCs w:val="24"/>
        </w:rPr>
        <w:t xml:space="preserve">Mean-variance, risk parity, Black-Litterman and HRP under real constraints, with a positions-to-trades CLI</w:t>
      </w:r>
    </w:p>
    <w:tbl>
      <w:tblPr>
        <w:tblW w:type="dxa" w:w="9300"/>
        <w:tblBorders>
          <w:top w:val="single" w:color="BFC7D1" w:sz="4"/>
          <w:left w:val="single" w:color="BFC7D1" w:sz="4"/>
          <w:bottom w:val="single" w:color="BFC7D1" w:sz="4"/>
          <w:right w:val="single" w:color="BFC7D1" w:sz="4"/>
          <w:insideH w:val="single" w:color="BFC7D1" w:sz="4"/>
          <w:insideV w:val="single" w:color="BFC7D1" w:sz="4"/>
        </w:tblBorders>
      </w:tblPr>
      <w:tblGrid>
        <w:gridCol w:w="1300"/>
        <w:gridCol w:w="1300"/>
        <w:gridCol w:w="1400"/>
        <w:gridCol w:w="3300"/>
        <w:gridCol w:w="2000"/>
      </w:tblGrid>
      <w:tr>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Priority</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Data cost</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Build time</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Target roles</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Feeds into</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Build first (LCIP)</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Free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2 to 3 weeks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Portfolio implementation, multi-asset, quant PM support</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Projects 4, 9</w:t>
            </w:r>
          </w:p>
        </w:tc>
      </w:tr>
    </w:tbl>
    <w:p>
      <w:pPr>
        <w:spacing w:after="120"/>
      </w:pPr>
    </w:p>
    <w:p>
      <w:pPr>
        <w:pStyle w:val="Heading1"/>
        <w:spacing w:after="120" w:before="320"/>
      </w:pPr>
      <w:r>
        <w:rPr>
          <w:rFonts w:ascii="Calibri" w:cs="Calibri" w:eastAsia="Calibri" w:hAnsi="Calibri"/>
          <w:b/>
          <w:bCs/>
          <w:color w:val="1F3A5F"/>
          <w:sz w:val="30"/>
          <w:szCs w:val="30"/>
        </w:rPr>
        <w:t xml:space="preserve">1. What this project is</w:t>
      </w:r>
    </w:p>
    <w:p>
      <w:pPr>
        <w:spacing w:after="120" w:line="276"/>
      </w:pPr>
      <w:r>
        <w:rPr>
          <w:rFonts w:ascii="Calibri" w:cs="Calibri" w:eastAsia="Calibri" w:hAnsi="Calibri"/>
          <w:sz w:val="22"/>
          <w:szCs w:val="22"/>
        </w:rPr>
        <w:t xml:space="preserve">A portfolio construction engine that takes expected returns and a covariance estimate, applies real constraints (long-only or bounded, turnover limits, position caps, cost penalties), and produces target weights and a trade list. It compares mean-variance, risk parity, minimum variance, Black-Litterman and hierarchical risk parity on the same data with a walk-forward test, and it ships as a command-line tool that reads a positions file and writes trades.</w:t>
      </w:r>
    </w:p>
    <w:p>
      <w:pPr>
        <w:spacing w:after="120" w:line="276"/>
      </w:pPr>
      <w:r>
        <w:rPr>
          <w:rFonts w:ascii="Calibri" w:cs="Calibri" w:eastAsia="Calibri" w:hAnsi="Calibri"/>
          <w:sz w:val="22"/>
          <w:szCs w:val="22"/>
        </w:rPr>
        <w:t xml:space="preserve">This is the closest project to what LCIP described: portfolio implementation tooling built from scratch. It should be the first one you finish.</w:t>
      </w:r>
    </w:p>
    <w:p>
      <w:pPr>
        <w:pStyle w:val="Heading1"/>
        <w:spacing w:after="120" w:before="320"/>
      </w:pPr>
      <w:r>
        <w:rPr>
          <w:rFonts w:ascii="Calibri" w:cs="Calibri" w:eastAsia="Calibri" w:hAnsi="Calibri"/>
          <w:b/>
          <w:bCs/>
          <w:color w:val="1F3A5F"/>
          <w:sz w:val="30"/>
          <w:szCs w:val="30"/>
        </w:rPr>
        <w:t xml:space="preserve">2. What we are trying to find</w:t>
      </w:r>
    </w:p>
    <w:p>
      <w:pPr>
        <w:pStyle w:val="ListParagraph"/>
        <w:numPr>
          <w:ilvl w:val="0"/>
          <w:numId w:val="2"/>
        </w:numPr>
        <w:spacing w:after="60" w:line="276"/>
      </w:pPr>
      <w:r>
        <w:rPr>
          <w:rFonts w:ascii="Calibri" w:cs="Calibri" w:eastAsia="Calibri" w:hAnsi="Calibri"/>
          <w:sz w:val="22"/>
          <w:szCs w:val="22"/>
        </w:rPr>
        <w:t xml:space="preserve">How much of the in-sample gap between optimisers survives out of sample once estimation error is included?</w:t>
      </w:r>
    </w:p>
    <w:p>
      <w:pPr>
        <w:pStyle w:val="ListParagraph"/>
        <w:numPr>
          <w:ilvl w:val="0"/>
          <w:numId w:val="2"/>
        </w:numPr>
        <w:spacing w:after="60" w:line="276"/>
      </w:pPr>
      <w:r>
        <w:rPr>
          <w:rFonts w:ascii="Calibri" w:cs="Calibri" w:eastAsia="Calibri" w:hAnsi="Calibri"/>
          <w:sz w:val="22"/>
          <w:szCs w:val="22"/>
        </w:rPr>
        <w:t xml:space="preserve">What does a turnover constraint cost in expected return, and what does it save in transaction cost, as a function of the constraint?</w:t>
      </w:r>
    </w:p>
    <w:p>
      <w:pPr>
        <w:pStyle w:val="ListParagraph"/>
        <w:numPr>
          <w:ilvl w:val="0"/>
          <w:numId w:val="2"/>
        </w:numPr>
        <w:spacing w:after="60" w:line="276"/>
      </w:pPr>
      <w:r>
        <w:rPr>
          <w:rFonts w:ascii="Calibri" w:cs="Calibri" w:eastAsia="Calibri" w:hAnsi="Calibri"/>
          <w:sz w:val="22"/>
          <w:szCs w:val="22"/>
        </w:rPr>
        <w:t xml:space="preserve">How sensitive are mean-variance weights to small changes in expected returns, and does shrinkage or Black-Litterman fix that in practice?</w:t>
      </w:r>
    </w:p>
    <w:p>
      <w:pPr>
        <w:pStyle w:val="ListParagraph"/>
        <w:numPr>
          <w:ilvl w:val="0"/>
          <w:numId w:val="2"/>
        </w:numPr>
        <w:spacing w:after="60" w:line="276"/>
      </w:pPr>
      <w:r>
        <w:rPr>
          <w:rFonts w:ascii="Calibri" w:cs="Calibri" w:eastAsia="Calibri" w:hAnsi="Calibri"/>
          <w:sz w:val="22"/>
          <w:szCs w:val="22"/>
        </w:rPr>
        <w:t xml:space="preserve">Which covariance estimator (sample, Ledoit-Wolf, EWMA, factor-based) gives the best realised risk forecast?</w:t>
      </w:r>
    </w:p>
    <w:p>
      <w:pPr>
        <w:spacing w:after="120" w:line="276"/>
      </w:pPr>
      <w:r>
        <w:rPr>
          <w:rFonts w:ascii="Calibri" w:cs="Calibri" w:eastAsia="Calibri" w:hAnsi="Calibri"/>
          <w:sz w:val="22"/>
          <w:szCs w:val="22"/>
        </w:rPr>
        <w:t xml:space="preserve">The known answer, which you should reproduce, is that estimation error in expected returns dominates everything; minimum variance and risk parity beat unconstrained mean-variance out of sample most of the time; and constraints act as a form of shrinkage. Your contribution is the quantified version on your data with the trade-generation layer.</w:t>
      </w:r>
    </w:p>
    <w:p>
      <w:pPr>
        <w:pStyle w:val="Heading1"/>
        <w:spacing w:after="120" w:before="320"/>
      </w:pPr>
      <w:r>
        <w:rPr>
          <w:rFonts w:ascii="Calibri" w:cs="Calibri" w:eastAsia="Calibri" w:hAnsi="Calibri"/>
          <w:b/>
          <w:bCs/>
          <w:color w:val="1F3A5F"/>
          <w:sz w:val="30"/>
          <w:szCs w:val="30"/>
        </w:rPr>
        <w:t xml:space="preserve">3. The task</w:t>
      </w:r>
    </w:p>
    <w:p>
      <w:pPr>
        <w:pStyle w:val="ListParagraph"/>
        <w:numPr>
          <w:ilvl w:val="0"/>
          <w:numId w:val="3"/>
        </w:numPr>
        <w:spacing w:after="80" w:line="276"/>
      </w:pPr>
      <w:r>
        <w:rPr>
          <w:rFonts w:ascii="Calibri" w:cs="Calibri" w:eastAsia="Calibri" w:hAnsi="Calibri"/>
          <w:sz w:val="22"/>
          <w:szCs w:val="22"/>
        </w:rPr>
        <w:t xml:space="preserve">Pick a universe of 15 to 25 liquid ETFs across equities, rates, credit, commodities and real estate. Daily prices from 2007.</w:t>
      </w:r>
    </w:p>
    <w:p>
      <w:pPr>
        <w:pStyle w:val="ListParagraph"/>
        <w:numPr>
          <w:ilvl w:val="0"/>
          <w:numId w:val="3"/>
        </w:numPr>
        <w:spacing w:after="80" w:line="276"/>
      </w:pPr>
      <w:r>
        <w:rPr>
          <w:rFonts w:ascii="Calibri" w:cs="Calibri" w:eastAsia="Calibri" w:hAnsi="Calibri"/>
          <w:sz w:val="22"/>
          <w:szCs w:val="22"/>
        </w:rPr>
        <w:t xml:space="preserve">Implement 4 covariance estimators: sample, Ledoit-Wolf shrinkage to constant correlation, EWMA with λ = 0.97, and a 3-factor statistical (PCA) model.</w:t>
      </w:r>
    </w:p>
    <w:p>
      <w:pPr>
        <w:pStyle w:val="ListParagraph"/>
        <w:numPr>
          <w:ilvl w:val="0"/>
          <w:numId w:val="3"/>
        </w:numPr>
        <w:spacing w:after="80" w:line="276"/>
      </w:pPr>
      <w:r>
        <w:rPr>
          <w:rFonts w:ascii="Calibri" w:cs="Calibri" w:eastAsia="Calibri" w:hAnsi="Calibri"/>
          <w:sz w:val="22"/>
          <w:szCs w:val="22"/>
        </w:rPr>
        <w:t xml:space="preserve">Implement 5 allocators: unconstrained mean-variance, constrained mean-variance (bounds, turnover, cost), minimum variance, risk parity, Black-Litterman with 2 or 3 views, and hierarchical risk parity.</w:t>
      </w:r>
    </w:p>
    <w:p>
      <w:pPr>
        <w:pStyle w:val="ListParagraph"/>
        <w:numPr>
          <w:ilvl w:val="0"/>
          <w:numId w:val="3"/>
        </w:numPr>
        <w:spacing w:after="80" w:line="276"/>
      </w:pPr>
      <w:r>
        <w:rPr>
          <w:rFonts w:ascii="Calibri" w:cs="Calibri" w:eastAsia="Calibri" w:hAnsi="Calibri"/>
          <w:sz w:val="22"/>
          <w:szCs w:val="22"/>
        </w:rPr>
        <w:t xml:space="preserve">Walk-forward: estimate on trailing 36 months, hold 1 month, repeat. Track realised return, realised vol versus forecast vol, turnover, cost.</w:t>
      </w:r>
    </w:p>
    <w:p>
      <w:pPr>
        <w:pStyle w:val="ListParagraph"/>
        <w:numPr>
          <w:ilvl w:val="0"/>
          <w:numId w:val="3"/>
        </w:numPr>
        <w:spacing w:after="80" w:line="276"/>
      </w:pPr>
      <w:r>
        <w:rPr>
          <w:rFonts w:ascii="Calibri" w:cs="Calibri" w:eastAsia="Calibri" w:hAnsi="Calibri"/>
          <w:sz w:val="22"/>
          <w:szCs w:val="22"/>
        </w:rPr>
        <w:t xml:space="preserve">Sensitivity analysis: perturb expected returns by noise with the same standard error as the estimate; show the distribution of weights.</w:t>
      </w:r>
    </w:p>
    <w:p>
      <w:pPr>
        <w:pStyle w:val="ListParagraph"/>
        <w:numPr>
          <w:ilvl w:val="0"/>
          <w:numId w:val="3"/>
        </w:numPr>
        <w:spacing w:after="80" w:line="276"/>
      </w:pPr>
      <w:r>
        <w:rPr>
          <w:rFonts w:ascii="Calibri" w:cs="Calibri" w:eastAsia="Calibri" w:hAnsi="Calibri"/>
          <w:sz w:val="22"/>
          <w:szCs w:val="22"/>
        </w:rPr>
        <w:t xml:space="preserve">Build the CLI: input current positions CSV and target weights, output a trade list with cost estimate, respecting minimum trade size and round lots.</w:t>
      </w:r>
    </w:p>
    <w:p>
      <w:pPr>
        <w:pStyle w:val="ListParagraph"/>
        <w:numPr>
          <w:ilvl w:val="0"/>
          <w:numId w:val="3"/>
        </w:numPr>
        <w:spacing w:after="80" w:line="276"/>
      </w:pPr>
      <w:r>
        <w:rPr>
          <w:rFonts w:ascii="Calibri" w:cs="Calibri" w:eastAsia="Calibri" w:hAnsi="Calibri"/>
          <w:sz w:val="22"/>
          <w:szCs w:val="22"/>
        </w:rPr>
        <w:t xml:space="preserve">Write up with the results table and the efficient frontier plot with and without constraints.</w:t>
      </w:r>
    </w:p>
    <w:p>
      <w:pPr>
        <w:pStyle w:val="Heading1"/>
        <w:spacing w:after="120" w:before="320"/>
      </w:pPr>
      <w:r>
        <w:rPr>
          <w:rFonts w:ascii="Calibri" w:cs="Calibri" w:eastAsia="Calibri" w:hAnsi="Calibri"/>
          <w:b/>
          <w:bCs/>
          <w:color w:val="1F3A5F"/>
          <w:sz w:val="30"/>
          <w:szCs w:val="30"/>
        </w:rPr>
        <w:t xml:space="preserve">4. Data</w:t>
      </w:r>
    </w:p>
    <w:tbl>
      <w:tblPr>
        <w:tblW w:type="dxa" w:w="9300"/>
        <w:tblBorders>
          <w:top w:val="single" w:color="BFC7D1" w:sz="4"/>
          <w:left w:val="single" w:color="BFC7D1" w:sz="4"/>
          <w:bottom w:val="single" w:color="BFC7D1" w:sz="4"/>
          <w:right w:val="single" w:color="BFC7D1" w:sz="4"/>
          <w:insideH w:val="single" w:color="BFC7D1" w:sz="4"/>
          <w:insideV w:val="single" w:color="BFC7D1" w:sz="4"/>
        </w:tblBorders>
      </w:tblPr>
      <w:tblGrid>
        <w:gridCol w:w="2600"/>
        <w:gridCol w:w="2600"/>
        <w:gridCol w:w="4100"/>
      </w:tblGrid>
      <w:tr>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Need</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Source</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Notes</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ETF prices</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yfinance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SPY, IWM, EFA, EEM, TLT, IEF, SHY, LQD, HYG, TIP, GLD, DBC, VNQ, plus sector ETFs if you want more names</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Risk-free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FRED DGS3MO</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For excess returns and the Sharpe</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Market cap weights for Black-Litterman prior</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ETF AUM from issuer pages, or a fixed 60/40 style prior</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Document the choice</w:t>
            </w:r>
          </w:p>
        </w:tc>
      </w:tr>
    </w:tbl>
    <w:p>
      <w:pPr>
        <w:pStyle w:val="Heading1"/>
        <w:spacing w:after="120" w:before="320"/>
      </w:pPr>
      <w:r>
        <w:rPr>
          <w:rFonts w:ascii="Calibri" w:cs="Calibri" w:eastAsia="Calibri" w:hAnsi="Calibri"/>
          <w:b/>
          <w:bCs/>
          <w:color w:val="1F3A5F"/>
          <w:sz w:val="30"/>
          <w:szCs w:val="30"/>
        </w:rPr>
        <w:t xml:space="preserve">5. What you should learn</w:t>
      </w:r>
    </w:p>
    <w:p>
      <w:pPr>
        <w:pStyle w:val="ListParagraph"/>
        <w:numPr>
          <w:ilvl w:val="0"/>
          <w:numId w:val="2"/>
        </w:numPr>
        <w:spacing w:after="60" w:line="276"/>
      </w:pPr>
      <w:r>
        <w:rPr>
          <w:rFonts w:ascii="Calibri" w:cs="Calibri" w:eastAsia="Calibri" w:hAnsi="Calibri"/>
          <w:sz w:val="22"/>
          <w:szCs w:val="22"/>
        </w:rPr>
        <w:t xml:space="preserve">Convex optimisation: quadratic programs, the KKT conditions, why a turnover constraint makes the problem a second-order cone or an L1 penalised QP, and how cvxpy handles it.</w:t>
      </w:r>
    </w:p>
    <w:p>
      <w:pPr>
        <w:pStyle w:val="ListParagraph"/>
        <w:numPr>
          <w:ilvl w:val="0"/>
          <w:numId w:val="2"/>
        </w:numPr>
        <w:spacing w:after="60" w:line="276"/>
      </w:pPr>
      <w:r>
        <w:rPr>
          <w:rFonts w:ascii="Calibri" w:cs="Calibri" w:eastAsia="Calibri" w:hAnsi="Calibri"/>
          <w:sz w:val="22"/>
          <w:szCs w:val="22"/>
        </w:rPr>
        <w:t xml:space="preserve">Covariance estimation: why the sample covariance is nearly singular when N is close to T, the Ledoit-Wolf shrinkage intensity formula, and factor models as structured shrinkage.</w:t>
      </w:r>
    </w:p>
    <w:p>
      <w:pPr>
        <w:pStyle w:val="ListParagraph"/>
        <w:numPr>
          <w:ilvl w:val="0"/>
          <w:numId w:val="2"/>
        </w:numPr>
        <w:spacing w:after="60" w:line="276"/>
      </w:pPr>
      <w:r>
        <w:rPr>
          <w:rFonts w:ascii="Calibri" w:cs="Calibri" w:eastAsia="Calibri" w:hAnsi="Calibri"/>
          <w:sz w:val="22"/>
          <w:szCs w:val="22"/>
        </w:rPr>
        <w:t xml:space="preserve">Estimation error: the Chopra and Ziemba result that errors in means cost about 10 times more than errors in variances at moderate risk aversion.</w:t>
      </w:r>
    </w:p>
    <w:p>
      <w:pPr>
        <w:pStyle w:val="ListParagraph"/>
        <w:numPr>
          <w:ilvl w:val="0"/>
          <w:numId w:val="2"/>
        </w:numPr>
        <w:spacing w:after="60" w:line="276"/>
      </w:pPr>
      <w:r>
        <w:rPr>
          <w:rFonts w:ascii="Calibri" w:cs="Calibri" w:eastAsia="Calibri" w:hAnsi="Calibri"/>
          <w:sz w:val="22"/>
          <w:szCs w:val="22"/>
        </w:rPr>
        <w:t xml:space="preserve">Black-Litterman as Bayesian updating, and what τ and Ω actually mean.</w:t>
      </w:r>
    </w:p>
    <w:p>
      <w:pPr>
        <w:pStyle w:val="ListParagraph"/>
        <w:numPr>
          <w:ilvl w:val="0"/>
          <w:numId w:val="2"/>
        </w:numPr>
        <w:spacing w:after="60" w:line="276"/>
      </w:pPr>
      <w:r>
        <w:rPr>
          <w:rFonts w:ascii="Calibri" w:cs="Calibri" w:eastAsia="Calibri" w:hAnsi="Calibri"/>
          <w:sz w:val="22"/>
          <w:szCs w:val="22"/>
        </w:rPr>
        <w:t xml:space="preserve">Risk budgeting: marginal and total risk contributions, Euler decomposition.</w:t>
      </w:r>
    </w:p>
    <w:p>
      <w:pPr>
        <w:pStyle w:val="ListParagraph"/>
        <w:numPr>
          <w:ilvl w:val="0"/>
          <w:numId w:val="2"/>
        </w:numPr>
        <w:spacing w:after="60" w:line="276"/>
      </w:pPr>
      <w:r>
        <w:rPr>
          <w:rFonts w:ascii="Calibri" w:cs="Calibri" w:eastAsia="Calibri" w:hAnsi="Calibri"/>
          <w:sz w:val="22"/>
          <w:szCs w:val="22"/>
        </w:rPr>
        <w:t xml:space="preserve">Hierarchical risk parity: correlation distance, single-linkage clustering, quasi-diagonalisation, recursive bisection.</w:t>
      </w:r>
    </w:p>
    <w:p>
      <w:pPr>
        <w:pStyle w:val="ListParagraph"/>
        <w:numPr>
          <w:ilvl w:val="0"/>
          <w:numId w:val="2"/>
        </w:numPr>
        <w:spacing w:after="60" w:line="276"/>
      </w:pPr>
      <w:r>
        <w:rPr>
          <w:rFonts w:ascii="Calibri" w:cs="Calibri" w:eastAsia="Calibri" w:hAnsi="Calibri"/>
          <w:sz w:val="22"/>
          <w:szCs w:val="22"/>
        </w:rPr>
        <w:t xml:space="preserve">Resampled frontiers and why they are a heuristic, not a fix.</w:t>
      </w:r>
    </w:p>
    <w:p>
      <w:pPr>
        <w:pStyle w:val="Heading1"/>
        <w:spacing w:after="120" w:before="320"/>
      </w:pPr>
      <w:r>
        <w:rPr>
          <w:rFonts w:ascii="Calibri" w:cs="Calibri" w:eastAsia="Calibri" w:hAnsi="Calibri"/>
          <w:b/>
          <w:bCs/>
          <w:color w:val="1F3A5F"/>
          <w:sz w:val="30"/>
          <w:szCs w:val="30"/>
        </w:rPr>
        <w:t xml:space="preserve">6. Methods and the maths</w:t>
      </w:r>
    </w:p>
    <w:p>
      <w:pPr>
        <w:pStyle w:val="Heading2"/>
        <w:spacing w:after="80" w:before="220"/>
      </w:pPr>
      <w:r>
        <w:rPr>
          <w:rFonts w:ascii="Calibri" w:cs="Calibri" w:eastAsia="Calibri" w:hAnsi="Calibri"/>
          <w:b/>
          <w:bCs/>
          <w:color w:val="1F3A5F"/>
          <w:sz w:val="24"/>
          <w:szCs w:val="24"/>
        </w:rPr>
        <w:t xml:space="preserve">6.1 Mean-variance with constraints</w:t>
      </w:r>
    </w:p>
    <w:p>
      <w:pPr>
        <w:spacing w:after="40" w:before="100" w:line="320"/>
        <w:ind w:left="720"/>
      </w:pPr>
      <w:r>
        <w:rPr>
          <w:rFonts w:ascii="Cambria Math" w:cs="Cambria Math" w:eastAsia="Cambria Math" w:hAnsi="Cambria Math"/>
          <w:sz w:val="23"/>
          <w:szCs w:val="23"/>
        </w:rPr>
        <w:t xml:space="preserve">min_w  ½ w′Σw − (1/λ) μ′w + c ‖w − w_prev‖₁</w:t>
      </w:r>
    </w:p>
    <w:p>
      <w:pPr>
        <w:spacing w:after="160" w:before="40" w:line="260"/>
        <w:ind w:left="720"/>
      </w:pPr>
      <w:r>
        <w:rPr>
          <w:rFonts w:ascii="Calibri" w:cs="Calibri" w:eastAsia="Calibri" w:hAnsi="Calibri"/>
          <w:i/>
          <w:iCs/>
          <w:color w:val="6B7280"/>
          <w:sz w:val="19"/>
          <w:szCs w:val="19"/>
        </w:rPr>
        <w:t xml:space="preserve">λ is risk aversion, c one-way cost. Constraints: 1′w = 1, l ≤ w ≤ u, ‖w − w_prev‖₁ ≤ τ.</w:t>
      </w:r>
    </w:p>
    <w:p>
      <w:pPr>
        <w:spacing w:after="120" w:line="276"/>
      </w:pPr>
      <w:r>
        <w:rPr>
          <w:rFonts w:ascii="Calibri" w:cs="Calibri" w:eastAsia="Calibri" w:hAnsi="Calibri"/>
          <w:sz w:val="22"/>
          <w:szCs w:val="22"/>
        </w:rPr>
        <w:t xml:space="preserve">The L1 term is not differentiable; cvxpy converts it to auxiliary variables automatically. Solve with OSQP or ECOS. Check the dual variables on the turnover constraint: they tell you the shadow price of turnover in units of expected return.</w:t>
      </w:r>
    </w:p>
    <w:p>
      <w:pPr>
        <w:pStyle w:val="Heading2"/>
        <w:spacing w:after="80" w:before="220"/>
      </w:pPr>
      <w:r>
        <w:rPr>
          <w:rFonts w:ascii="Calibri" w:cs="Calibri" w:eastAsia="Calibri" w:hAnsi="Calibri"/>
          <w:b/>
          <w:bCs/>
          <w:color w:val="1F3A5F"/>
          <w:sz w:val="24"/>
          <w:szCs w:val="24"/>
        </w:rPr>
        <w:t xml:space="preserve">6.2 Ledoit-Wolf shrinkage</w:t>
      </w:r>
    </w:p>
    <w:p>
      <w:pPr>
        <w:spacing w:after="40" w:before="100" w:line="320"/>
        <w:ind w:left="720"/>
      </w:pPr>
      <w:r>
        <w:rPr>
          <w:rFonts w:ascii="Cambria Math" w:cs="Cambria Math" w:eastAsia="Cambria Math" w:hAnsi="Cambria Math"/>
          <w:sz w:val="23"/>
          <w:szCs w:val="23"/>
        </w:rPr>
        <w:t xml:space="preserve">Σ̂ = δ F + (1 − δ) S</w:t>
      </w:r>
    </w:p>
    <w:p>
      <w:pPr>
        <w:spacing w:after="160" w:before="40" w:line="260"/>
        <w:ind w:left="720"/>
      </w:pPr>
      <w:r>
        <w:rPr>
          <w:rFonts w:ascii="Calibri" w:cs="Calibri" w:eastAsia="Calibri" w:hAnsi="Calibri"/>
          <w:i/>
          <w:iCs/>
          <w:color w:val="6B7280"/>
          <w:sz w:val="19"/>
          <w:szCs w:val="19"/>
        </w:rPr>
        <w:t xml:space="preserve">S is the sample covariance, F the constant-correlation target, δ ∈ [0,1] the shrinkage intensity.</w:t>
      </w:r>
    </w:p>
    <w:p>
      <w:pPr>
        <w:spacing w:after="40" w:before="100" w:line="320"/>
        <w:ind w:left="720"/>
      </w:pPr>
      <w:r>
        <w:rPr>
          <w:rFonts w:ascii="Cambria Math" w:cs="Cambria Math" w:eastAsia="Cambria Math" w:hAnsi="Cambria Math"/>
          <w:sz w:val="23"/>
          <w:szCs w:val="23"/>
        </w:rPr>
        <w:t xml:space="preserve">δ* = max(0, min(1, (π̂ − ρ̂) / (γ̂ T) ))</w:t>
      </w:r>
    </w:p>
    <w:p>
      <w:pPr>
        <w:spacing w:after="160" w:before="40" w:line="260"/>
        <w:ind w:left="720"/>
      </w:pPr>
      <w:r>
        <w:rPr>
          <w:rFonts w:ascii="Calibri" w:cs="Calibri" w:eastAsia="Calibri" w:hAnsi="Calibri"/>
          <w:i/>
          <w:iCs/>
          <w:color w:val="6B7280"/>
          <w:sz w:val="19"/>
          <w:szCs w:val="19"/>
        </w:rPr>
        <w:t xml:space="preserve">π̂ estimates the sum of asymptotic variances of S entries, ρ̂ the covariance of S and F entries, γ̂ the squared Frobenius distance between F and S. sklearn implements this; implement it yourself once.</w:t>
      </w:r>
    </w:p>
    <w:p>
      <w:pPr>
        <w:pStyle w:val="Heading2"/>
        <w:spacing w:after="80" w:before="220"/>
      </w:pPr>
      <w:r>
        <w:rPr>
          <w:rFonts w:ascii="Calibri" w:cs="Calibri" w:eastAsia="Calibri" w:hAnsi="Calibri"/>
          <w:b/>
          <w:bCs/>
          <w:color w:val="1F3A5F"/>
          <w:sz w:val="24"/>
          <w:szCs w:val="24"/>
        </w:rPr>
        <w:t xml:space="preserve">6.3 Risk parity</w:t>
      </w:r>
    </w:p>
    <w:p>
      <w:pPr>
        <w:spacing w:after="120" w:line="276"/>
      </w:pPr>
      <w:r>
        <w:rPr>
          <w:rFonts w:ascii="Calibri" w:cs="Calibri" w:eastAsia="Calibri" w:hAnsi="Calibri"/>
          <w:sz w:val="22"/>
          <w:szCs w:val="22"/>
        </w:rPr>
        <w:t xml:space="preserve">Risk contribution of asset i:</w:t>
      </w:r>
    </w:p>
    <w:p>
      <w:pPr>
        <w:spacing w:after="160" w:before="100" w:line="320"/>
        <w:ind w:left="720"/>
      </w:pPr>
      <w:r>
        <w:rPr>
          <w:rFonts w:ascii="Cambria Math" w:cs="Cambria Math" w:eastAsia="Cambria Math" w:hAnsi="Cambria Math"/>
          <w:sz w:val="23"/>
          <w:szCs w:val="23"/>
        </w:rPr>
        <w:t xml:space="preserve">RC_i = w_i (Σw)_i / √(w′Σw),   Σ_i RC_i = √(w′Σw)</w:t>
      </w:r>
    </w:p>
    <w:p>
      <w:pPr>
        <w:spacing w:after="120" w:line="276"/>
      </w:pPr>
      <w:r>
        <w:rPr>
          <w:rFonts w:ascii="Calibri" w:cs="Calibri" w:eastAsia="Calibri" w:hAnsi="Calibri"/>
          <w:sz w:val="22"/>
          <w:szCs w:val="22"/>
        </w:rPr>
        <w:t xml:space="preserve">Risk parity sets RC_i equal for all i. Solve the convex reformulation of Spinu:</w:t>
      </w:r>
    </w:p>
    <w:p>
      <w:pPr>
        <w:spacing w:after="40" w:before="100" w:line="320"/>
        <w:ind w:left="720"/>
      </w:pPr>
      <w:r>
        <w:rPr>
          <w:rFonts w:ascii="Cambria Math" w:cs="Cambria Math" w:eastAsia="Cambria Math" w:hAnsi="Cambria Math"/>
          <w:sz w:val="23"/>
          <w:szCs w:val="23"/>
        </w:rPr>
        <w:t xml:space="preserve">min_w  ½ w′Σw − Σ_i b_i log w_i,   then rescale w to sum to 1</w:t>
      </w:r>
    </w:p>
    <w:p>
      <w:pPr>
        <w:spacing w:after="160" w:before="40" w:line="260"/>
        <w:ind w:left="720"/>
      </w:pPr>
      <w:r>
        <w:rPr>
          <w:rFonts w:ascii="Calibri" w:cs="Calibri" w:eastAsia="Calibri" w:hAnsi="Calibri"/>
          <w:i/>
          <w:iCs/>
          <w:color w:val="6B7280"/>
          <w:sz w:val="19"/>
          <w:szCs w:val="19"/>
        </w:rPr>
        <w:t xml:space="preserve">b_i = 1/N for equal risk budgets. This is strictly convex on w &gt; 0 and has a unique solution.</w:t>
      </w:r>
    </w:p>
    <w:p>
      <w:pPr>
        <w:pStyle w:val="Heading2"/>
        <w:spacing w:after="80" w:before="220"/>
      </w:pPr>
      <w:r>
        <w:rPr>
          <w:rFonts w:ascii="Calibri" w:cs="Calibri" w:eastAsia="Calibri" w:hAnsi="Calibri"/>
          <w:b/>
          <w:bCs/>
          <w:color w:val="1F3A5F"/>
          <w:sz w:val="24"/>
          <w:szCs w:val="24"/>
        </w:rPr>
        <w:t xml:space="preserve">6.4 Black-Litterman</w:t>
      </w:r>
    </w:p>
    <w:p>
      <w:pPr>
        <w:spacing w:after="120" w:line="276"/>
      </w:pPr>
      <w:r>
        <w:rPr>
          <w:rFonts w:ascii="Calibri" w:cs="Calibri" w:eastAsia="Calibri" w:hAnsi="Calibri"/>
          <w:sz w:val="22"/>
          <w:szCs w:val="22"/>
        </w:rPr>
        <w:t xml:space="preserve">Reverse-optimise the equilibrium returns from market weights, then combine with views.</w:t>
      </w:r>
    </w:p>
    <w:p>
      <w:pPr>
        <w:spacing w:after="40" w:before="100" w:line="320"/>
        <w:ind w:left="720"/>
      </w:pPr>
      <w:r>
        <w:rPr>
          <w:rFonts w:ascii="Cambria Math" w:cs="Cambria Math" w:eastAsia="Cambria Math" w:hAnsi="Cambria Math"/>
          <w:sz w:val="23"/>
          <w:szCs w:val="23"/>
        </w:rPr>
        <w:t xml:space="preserve">Π = δ Σ w_mkt</w:t>
      </w:r>
    </w:p>
    <w:p>
      <w:pPr>
        <w:spacing w:after="160" w:before="40" w:line="260"/>
        <w:ind w:left="720"/>
      </w:pPr>
      <w:r>
        <w:rPr>
          <w:rFonts w:ascii="Calibri" w:cs="Calibri" w:eastAsia="Calibri" w:hAnsi="Calibri"/>
          <w:i/>
          <w:iCs/>
          <w:color w:val="6B7280"/>
          <w:sz w:val="19"/>
          <w:szCs w:val="19"/>
        </w:rPr>
        <w:t xml:space="preserve">δ is the market risk aversion, typically 2 to 3.</w:t>
      </w:r>
    </w:p>
    <w:p>
      <w:pPr>
        <w:spacing w:after="40" w:before="100" w:line="320"/>
        <w:ind w:left="720"/>
      </w:pPr>
      <w:r>
        <w:rPr>
          <w:rFonts w:ascii="Cambria Math" w:cs="Cambria Math" w:eastAsia="Cambria Math" w:hAnsi="Cambria Math"/>
          <w:sz w:val="23"/>
          <w:szCs w:val="23"/>
        </w:rPr>
        <w:t xml:space="preserve">μ_BL = [ (τΣ)⁻¹ + P′Ω⁻¹P ]⁻¹ [ (τΣ)⁻¹ Π + P′Ω⁻¹ Q ]</w:t>
      </w:r>
    </w:p>
    <w:p>
      <w:pPr>
        <w:spacing w:after="160" w:before="40" w:line="260"/>
        <w:ind w:left="720"/>
      </w:pPr>
      <w:r>
        <w:rPr>
          <w:rFonts w:ascii="Calibri" w:cs="Calibri" w:eastAsia="Calibri" w:hAnsi="Calibri"/>
          <w:i/>
          <w:iCs/>
          <w:color w:val="6B7280"/>
          <w:sz w:val="19"/>
          <w:szCs w:val="19"/>
        </w:rPr>
        <w:t xml:space="preserve">P picks the assets in each view, Q the view returns, Ω the view uncertainty. With Ω = diag(P τΣ P′) views have the same confidence as the prior.</w:t>
      </w:r>
    </w:p>
    <w:p>
      <w:pPr>
        <w:spacing w:after="160" w:before="100" w:line="320"/>
        <w:ind w:left="720"/>
      </w:pPr>
      <w:r>
        <w:rPr>
          <w:rFonts w:ascii="Cambria Math" w:cs="Cambria Math" w:eastAsia="Cambria Math" w:hAnsi="Cambria Math"/>
          <w:sz w:val="23"/>
          <w:szCs w:val="23"/>
        </w:rPr>
        <w:t xml:space="preserve">Σ_BL = Σ + [ (τΣ)⁻¹ + P′Ω⁻¹P ]⁻¹</w:t>
      </w:r>
    </w:p>
    <w:p>
      <w:pPr>
        <w:pStyle w:val="Heading2"/>
        <w:spacing w:after="80" w:before="220"/>
      </w:pPr>
      <w:r>
        <w:rPr>
          <w:rFonts w:ascii="Calibri" w:cs="Calibri" w:eastAsia="Calibri" w:hAnsi="Calibri"/>
          <w:b/>
          <w:bCs/>
          <w:color w:val="1F3A5F"/>
          <w:sz w:val="24"/>
          <w:szCs w:val="24"/>
        </w:rPr>
        <w:t xml:space="preserve">6.5 Hierarchical risk parity</w:t>
      </w:r>
    </w:p>
    <w:p>
      <w:pPr>
        <w:spacing w:after="40" w:before="100" w:line="320"/>
        <w:ind w:left="720"/>
      </w:pPr>
      <w:r>
        <w:rPr>
          <w:rFonts w:ascii="Cambria Math" w:cs="Cambria Math" w:eastAsia="Cambria Math" w:hAnsi="Cambria Math"/>
          <w:sz w:val="23"/>
          <w:szCs w:val="23"/>
        </w:rPr>
        <w:t xml:space="preserve">d_ij = √( ½ (1 − ρ_ij) )</w:t>
      </w:r>
    </w:p>
    <w:p>
      <w:pPr>
        <w:spacing w:after="160" w:before="40" w:line="260"/>
        <w:ind w:left="720"/>
      </w:pPr>
      <w:r>
        <w:rPr>
          <w:rFonts w:ascii="Calibri" w:cs="Calibri" w:eastAsia="Calibri" w:hAnsi="Calibri"/>
          <w:i/>
          <w:iCs/>
          <w:color w:val="6B7280"/>
          <w:sz w:val="19"/>
          <w:szCs w:val="19"/>
        </w:rPr>
        <w:t xml:space="preserve">Correlation distance, a proper metric. Cluster with single linkage, reorder the covariance so similar assets are adjacent, then bisect recursively allocating inverse-variance within each cluster.</w:t>
      </w:r>
    </w:p>
    <w:p>
      <w:pPr>
        <w:pStyle w:val="Heading2"/>
        <w:spacing w:after="80" w:before="220"/>
      </w:pPr>
      <w:r>
        <w:rPr>
          <w:rFonts w:ascii="Calibri" w:cs="Calibri" w:eastAsia="Calibri" w:hAnsi="Calibri"/>
          <w:b/>
          <w:bCs/>
          <w:color w:val="1F3A5F"/>
          <w:sz w:val="24"/>
          <w:szCs w:val="24"/>
        </w:rPr>
        <w:t xml:space="preserve">6.6 Evaluating a covariance forecast</w:t>
      </w:r>
    </w:p>
    <w:p>
      <w:pPr>
        <w:spacing w:after="120" w:line="276"/>
      </w:pPr>
      <w:r>
        <w:rPr>
          <w:rFonts w:ascii="Calibri" w:cs="Calibri" w:eastAsia="Calibri" w:hAnsi="Calibri"/>
          <w:sz w:val="22"/>
          <w:szCs w:val="22"/>
        </w:rPr>
        <w:t xml:space="preserve">Forecast vol for the realised weights and compare with realised vol over the holding period. Report the bias ratio and the QLIKE loss, which is the proper scoring rule for variance:</w:t>
      </w:r>
    </w:p>
    <w:p>
      <w:pPr>
        <w:spacing w:after="40" w:before="100" w:line="320"/>
        <w:ind w:left="720"/>
      </w:pPr>
      <w:r>
        <w:rPr>
          <w:rFonts w:ascii="Cambria Math" w:cs="Cambria Math" w:eastAsia="Cambria Math" w:hAnsi="Cambria Math"/>
          <w:sz w:val="23"/>
          <w:szCs w:val="23"/>
        </w:rPr>
        <w:t xml:space="preserve">QLIKE = log σ̂² + σ²_realised / σ̂²</w:t>
      </w:r>
    </w:p>
    <w:p>
      <w:pPr>
        <w:spacing w:after="160" w:before="40" w:line="260"/>
        <w:ind w:left="720"/>
      </w:pPr>
      <w:r>
        <w:rPr>
          <w:rFonts w:ascii="Calibri" w:cs="Calibri" w:eastAsia="Calibri" w:hAnsi="Calibri"/>
          <w:i/>
          <w:iCs/>
          <w:color w:val="6B7280"/>
          <w:sz w:val="19"/>
          <w:szCs w:val="19"/>
        </w:rPr>
        <w:t xml:space="preserve">Lower is better. Mean squared error on variance is dominated by a few high-vol months; QLIKE is not.</w:t>
      </w:r>
    </w:p>
    <w:p>
      <w:pPr>
        <w:pStyle w:val="Heading2"/>
        <w:spacing w:after="80" w:before="220"/>
      </w:pPr>
      <w:r>
        <w:rPr>
          <w:rFonts w:ascii="Calibri" w:cs="Calibri" w:eastAsia="Calibri" w:hAnsi="Calibri"/>
          <w:b/>
          <w:bCs/>
          <w:color w:val="1F3A5F"/>
          <w:sz w:val="24"/>
          <w:szCs w:val="24"/>
        </w:rPr>
        <w:t xml:space="preserve">6.7 Estimation error sensitivity</w:t>
      </w:r>
    </w:p>
    <w:p>
      <w:pPr>
        <w:spacing w:after="120" w:line="276"/>
      </w:pPr>
      <w:r>
        <w:rPr>
          <w:rFonts w:ascii="Calibri" w:cs="Calibri" w:eastAsia="Calibri" w:hAnsi="Calibri"/>
          <w:sz w:val="22"/>
          <w:szCs w:val="22"/>
        </w:rPr>
        <w:t xml:space="preserve">Standard error of a mean estimate from T months with vol σ is σ/√T. For an asset with 15% annual vol and 36 months of data, that is about 5% per year, larger than most expected return differences. Draw 1,000 perturbed μ vectors, re-optimise, and plot the weight distributions. Unconstrained mean-variance will show weights swinging between limits; constrained and shrunk versions will not.</w:t>
      </w:r>
    </w:p>
    <w:p>
      <w:pPr>
        <w:pStyle w:val="Heading1"/>
        <w:spacing w:after="120" w:before="320"/>
      </w:pPr>
      <w:r>
        <w:rPr>
          <w:rFonts w:ascii="Calibri" w:cs="Calibri" w:eastAsia="Calibri" w:hAnsi="Calibri"/>
          <w:b/>
          <w:bCs/>
          <w:color w:val="1F3A5F"/>
          <w:sz w:val="30"/>
          <w:szCs w:val="30"/>
        </w:rPr>
        <w:t xml:space="preserve">7. Build instructions</w:t>
      </w:r>
    </w:p>
    <w:p>
      <w:pPr>
        <w:pStyle w:val="ListParagraph"/>
        <w:numPr>
          <w:ilvl w:val="0"/>
          <w:numId w:val="4"/>
        </w:numPr>
        <w:spacing w:after="80" w:line="276"/>
      </w:pPr>
      <w:r>
        <w:rPr>
          <w:rFonts w:ascii="Calibri" w:cs="Calibri" w:eastAsia="Calibri" w:hAnsi="Calibri"/>
          <w:sz w:val="22"/>
          <w:szCs w:val="22"/>
        </w:rPr>
        <w:t xml:space="preserve">Package layout: pc/data.py, pc/cov.py, pc/allocators.py, pc/backtest.py, pc/trades.py, cli.py, tests/.</w:t>
      </w:r>
    </w:p>
    <w:p>
      <w:pPr>
        <w:pStyle w:val="ListParagraph"/>
        <w:numPr>
          <w:ilvl w:val="0"/>
          <w:numId w:val="4"/>
        </w:numPr>
        <w:spacing w:after="80" w:line="276"/>
      </w:pPr>
      <w:r>
        <w:rPr>
          <w:rFonts w:ascii="Calibri" w:cs="Calibri" w:eastAsia="Calibri" w:hAnsi="Calibri"/>
          <w:sz w:val="22"/>
          <w:szCs w:val="22"/>
        </w:rPr>
        <w:t xml:space="preserve">Every allocator is a function (mu, Sigma, w_prev, constraints) → w. Same signature, so the backtest loops over a list.</w:t>
      </w:r>
    </w:p>
    <w:p>
      <w:pPr>
        <w:pStyle w:val="ListParagraph"/>
        <w:numPr>
          <w:ilvl w:val="0"/>
          <w:numId w:val="4"/>
        </w:numPr>
        <w:spacing w:after="80" w:line="276"/>
      </w:pPr>
      <w:r>
        <w:rPr>
          <w:rFonts w:ascii="Calibri" w:cs="Calibri" w:eastAsia="Calibri" w:hAnsi="Calibri"/>
          <w:sz w:val="22"/>
          <w:szCs w:val="22"/>
        </w:rPr>
        <w:t xml:space="preserve">cvxpy for anything with constraints; scipy.optimize for risk parity; write HRP by hand (it is 60 lines).</w:t>
      </w:r>
    </w:p>
    <w:p>
      <w:pPr>
        <w:pStyle w:val="ListParagraph"/>
        <w:numPr>
          <w:ilvl w:val="0"/>
          <w:numId w:val="4"/>
        </w:numPr>
        <w:spacing w:after="80" w:line="276"/>
      </w:pPr>
      <w:r>
        <w:rPr>
          <w:rFonts w:ascii="Calibri" w:cs="Calibri" w:eastAsia="Calibri" w:hAnsi="Calibri"/>
          <w:sz w:val="22"/>
          <w:szCs w:val="22"/>
        </w:rPr>
        <w:t xml:space="preserve">Unit tests: risk parity contributions equal to 1e-6; minimum variance with no constraints matches the closed form Σ⁻¹1 / 1′Σ⁻¹1; Black-Litterman with no views returns Π.</w:t>
      </w:r>
    </w:p>
    <w:p>
      <w:pPr>
        <w:pStyle w:val="ListParagraph"/>
        <w:numPr>
          <w:ilvl w:val="0"/>
          <w:numId w:val="4"/>
        </w:numPr>
        <w:spacing w:after="80" w:line="276"/>
      </w:pPr>
      <w:r>
        <w:rPr>
          <w:rFonts w:ascii="Calibri" w:cs="Calibri" w:eastAsia="Calibri" w:hAnsi="Calibri"/>
          <w:sz w:val="22"/>
          <w:szCs w:val="22"/>
        </w:rPr>
        <w:t xml:space="preserve">Walk-forward loop stores weights, forecasts and realised outcomes in one long DataFrame; every chart comes from it.</w:t>
      </w:r>
    </w:p>
    <w:p>
      <w:pPr>
        <w:pStyle w:val="ListParagraph"/>
        <w:numPr>
          <w:ilvl w:val="0"/>
          <w:numId w:val="4"/>
        </w:numPr>
        <w:spacing w:after="80" w:line="276"/>
      </w:pPr>
      <w:r>
        <w:rPr>
          <w:rFonts w:ascii="Calibri" w:cs="Calibri" w:eastAsia="Calibri" w:hAnsi="Calibri"/>
          <w:sz w:val="22"/>
          <w:szCs w:val="22"/>
        </w:rPr>
        <w:t xml:space="preserve">The CLI reads positions.csv (ticker, quantity, price), computes current weights, calls an allocator, and writes trades.csv with side, quantity, notional, estimated cost. Add a --dry-run flag and a --max-turnover flag.</w:t>
      </w:r>
    </w:p>
    <w:p>
      <w:pPr>
        <w:pStyle w:val="ListParagraph"/>
        <w:numPr>
          <w:ilvl w:val="0"/>
          <w:numId w:val="4"/>
        </w:numPr>
        <w:spacing w:after="80" w:line="276"/>
      </w:pPr>
      <w:r>
        <w:rPr>
          <w:rFonts w:ascii="Calibri" w:cs="Calibri" w:eastAsia="Calibri" w:hAnsi="Calibri"/>
          <w:sz w:val="22"/>
          <w:szCs w:val="22"/>
        </w:rPr>
        <w:t xml:space="preserve">Round lots and a minimum trade notional are the details that make it look like a tool built by someone who has traded.</w:t>
      </w:r>
    </w:p>
    <w:p>
      <w:pPr>
        <w:pStyle w:val="Heading1"/>
        <w:spacing w:after="120" w:before="320"/>
      </w:pPr>
      <w:r>
        <w:rPr>
          <w:rFonts w:ascii="Calibri" w:cs="Calibri" w:eastAsia="Calibri" w:hAnsi="Calibri"/>
          <w:b/>
          <w:bCs/>
          <w:color w:val="1F3A5F"/>
          <w:sz w:val="30"/>
          <w:szCs w:val="30"/>
        </w:rPr>
        <w:t xml:space="preserve">8. What the results should look like</w:t>
      </w:r>
    </w:p>
    <w:tbl>
      <w:tblPr>
        <w:tblW w:type="dxa" w:w="9200"/>
        <w:tblBorders>
          <w:top w:val="single" w:color="BFC7D1" w:sz="4"/>
          <w:left w:val="single" w:color="BFC7D1" w:sz="4"/>
          <w:bottom w:val="single" w:color="BFC7D1" w:sz="4"/>
          <w:right w:val="single" w:color="BFC7D1" w:sz="4"/>
          <w:insideH w:val="single" w:color="BFC7D1" w:sz="4"/>
          <w:insideV w:val="single" w:color="BFC7D1" w:sz="4"/>
        </w:tblBorders>
      </w:tblPr>
      <w:tblGrid>
        <w:gridCol w:w="1700"/>
        <w:gridCol w:w="1100"/>
        <w:gridCol w:w="1000"/>
        <w:gridCol w:w="800"/>
        <w:gridCol w:w="700"/>
        <w:gridCol w:w="1200"/>
        <w:gridCol w:w="1000"/>
        <w:gridCol w:w="800"/>
        <w:gridCol w:w="900"/>
      </w:tblGrid>
      <w:tr>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Allocator</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Covariance</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OOS ann. return</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OOS vol</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Sharpe</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Forecast/realised vol</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Monthly turnover</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Max DD</w:t>
            </w:r>
          </w:p>
        </w:tc>
        <w:tc>
          <w:tcPr>
            <w:tcW w:type="dxa" w:w="0"/>
            <w:shd w:fill="E8EEF5" w:color="auto" w:val="clear"/>
            <w:tcMar>
              <w:top w:type="dxa" w:w="60"/>
              <w:left w:type="dxa" w:w="100"/>
              <w:bottom w:type="dxa" w:w="60"/>
              <w:right w:type="dxa" w:w="100"/>
            </w:tcMar>
          </w:tcPr>
          <w:p>
            <w:r>
              <w:rPr>
                <w:rFonts w:ascii="Calibri" w:cs="Calibri" w:eastAsia="Calibri" w:hAnsi="Calibri"/>
                <w:b/>
                <w:bCs/>
                <w:sz w:val="19"/>
                <w:szCs w:val="19"/>
              </w:rPr>
              <w:t xml:space="preserve">Avg positions</w:t>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MV unconstrained</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Sample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MV constrained + cost</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Ledoit-Wolf</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Min variance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Ledoit-Wolf</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Risk parity</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EWMA</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Black-Litterman</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Ledoit-Wolf</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HRP</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Sample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r>
      <w:tr>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Equal weight</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w:t>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c>
          <w:tcPr>
            <w:tcW w:type="dxa" w:w="0"/>
            <w:tcMar>
              <w:top w:type="dxa" w:w="60"/>
              <w:left w:type="dxa" w:w="100"/>
              <w:bottom w:type="dxa" w:w="60"/>
              <w:right w:type="dxa" w:w="100"/>
            </w:tcMar>
          </w:tcPr>
          <w:p>
            <w:r>
              <w:rPr>
                <w:rFonts w:ascii="Calibri" w:cs="Calibri" w:eastAsia="Calibri" w:hAnsi="Calibri"/>
                <w:b w:val="false"/>
                <w:bCs w:val="false"/>
                <w:sz w:val="19"/>
                <w:szCs w:val="19"/>
              </w:rPr>
              <w:t xml:space="preserve"/>
            </w:r>
          </w:p>
        </w:tc>
      </w:tr>
    </w:tbl>
    <w:p>
      <w:pPr>
        <w:spacing w:after="120"/>
      </w:pPr>
    </w:p>
    <w:p>
      <w:pPr>
        <w:pStyle w:val="ListParagraph"/>
        <w:numPr>
          <w:ilvl w:val="0"/>
          <w:numId w:val="2"/>
        </w:numPr>
        <w:spacing w:after="60" w:line="276"/>
      </w:pPr>
      <w:r>
        <w:rPr>
          <w:rFonts w:ascii="Calibri" w:cs="Calibri" w:eastAsia="Calibri" w:hAnsi="Calibri"/>
          <w:sz w:val="22"/>
          <w:szCs w:val="22"/>
        </w:rPr>
        <w:t xml:space="preserve">Chart 1: efficient frontier in sample versus the realised out-of-sample points for each allocator, on the same axes. The distance between them is estimation error made visible.</w:t>
      </w:r>
    </w:p>
    <w:p>
      <w:pPr>
        <w:pStyle w:val="ListParagraph"/>
        <w:numPr>
          <w:ilvl w:val="0"/>
          <w:numId w:val="2"/>
        </w:numPr>
        <w:spacing w:after="60" w:line="276"/>
      </w:pPr>
      <w:r>
        <w:rPr>
          <w:rFonts w:ascii="Calibri" w:cs="Calibri" w:eastAsia="Calibri" w:hAnsi="Calibri"/>
          <w:sz w:val="22"/>
          <w:szCs w:val="22"/>
        </w:rPr>
        <w:t xml:space="preserve">Chart 2: stacked weights over time for constrained mean-variance and for risk parity.</w:t>
      </w:r>
    </w:p>
    <w:p>
      <w:pPr>
        <w:pStyle w:val="ListParagraph"/>
        <w:numPr>
          <w:ilvl w:val="0"/>
          <w:numId w:val="2"/>
        </w:numPr>
        <w:spacing w:after="60" w:line="276"/>
      </w:pPr>
      <w:r>
        <w:rPr>
          <w:rFonts w:ascii="Calibri" w:cs="Calibri" w:eastAsia="Calibri" w:hAnsi="Calibri"/>
          <w:sz w:val="22"/>
          <w:szCs w:val="22"/>
        </w:rPr>
        <w:t xml:space="preserve">Chart 3: box plots of each asset's weight across the 1,000 perturbed expected-return draws, one panel per allocator.</w:t>
      </w:r>
    </w:p>
    <w:p>
      <w:pPr>
        <w:pStyle w:val="ListParagraph"/>
        <w:numPr>
          <w:ilvl w:val="0"/>
          <w:numId w:val="2"/>
        </w:numPr>
        <w:spacing w:after="60" w:line="276"/>
      </w:pPr>
      <w:r>
        <w:rPr>
          <w:rFonts w:ascii="Calibri" w:cs="Calibri" w:eastAsia="Calibri" w:hAnsi="Calibri"/>
          <w:sz w:val="22"/>
          <w:szCs w:val="22"/>
        </w:rPr>
        <w:t xml:space="preserve">Chart 4: expected return given up versus cost saved as the turnover limit τ moves from 5% to 100%.</w:t>
      </w:r>
    </w:p>
    <w:p>
      <w:pPr>
        <w:pStyle w:val="ListParagraph"/>
        <w:numPr>
          <w:ilvl w:val="0"/>
          <w:numId w:val="2"/>
        </w:numPr>
        <w:spacing w:after="60" w:line="276"/>
      </w:pPr>
      <w:r>
        <w:rPr>
          <w:rFonts w:ascii="Calibri" w:cs="Calibri" w:eastAsia="Calibri" w:hAnsi="Calibri"/>
          <w:sz w:val="22"/>
          <w:szCs w:val="22"/>
        </w:rPr>
        <w:t xml:space="preserve">Table: QLIKE and bias ratio by covariance estimator.</w:t>
      </w:r>
    </w:p>
    <w:p>
      <w:pPr>
        <w:pStyle w:val="Heading1"/>
        <w:spacing w:after="120" w:before="320"/>
      </w:pPr>
      <w:r>
        <w:rPr>
          <w:rFonts w:ascii="Calibri" w:cs="Calibri" w:eastAsia="Calibri" w:hAnsi="Calibri"/>
          <w:b/>
          <w:bCs/>
          <w:color w:val="1F3A5F"/>
          <w:sz w:val="30"/>
          <w:szCs w:val="30"/>
        </w:rPr>
        <w:t xml:space="preserve">9. Making it useful</w:t>
      </w:r>
    </w:p>
    <w:p>
      <w:pPr>
        <w:pStyle w:val="ListParagraph"/>
        <w:numPr>
          <w:ilvl w:val="0"/>
          <w:numId w:val="2"/>
        </w:numPr>
        <w:spacing w:after="60" w:line="276"/>
      </w:pPr>
      <w:r>
        <w:rPr>
          <w:rFonts w:ascii="Calibri" w:cs="Calibri" w:eastAsia="Calibri" w:hAnsi="Calibri"/>
          <w:sz w:val="22"/>
          <w:szCs w:val="22"/>
        </w:rPr>
        <w:t xml:space="preserve">Demo the CLI in the LCIP conversation: a positions file in, a trade list out, with the turnover shadow price printed. That is exactly the tooling they described.</w:t>
      </w:r>
    </w:p>
    <w:p>
      <w:pPr>
        <w:pStyle w:val="ListParagraph"/>
        <w:numPr>
          <w:ilvl w:val="0"/>
          <w:numId w:val="2"/>
        </w:numPr>
        <w:spacing w:after="60" w:line="276"/>
      </w:pPr>
      <w:r>
        <w:rPr>
          <w:rFonts w:ascii="Calibri" w:cs="Calibri" w:eastAsia="Calibri" w:hAnsi="Calibri"/>
          <w:sz w:val="22"/>
          <w:szCs w:val="22"/>
        </w:rPr>
        <w:t xml:space="preserve">The chart of frontier versus realised points is the interview answer to 'why not just use Markowitz'.</w:t>
      </w:r>
    </w:p>
    <w:p>
      <w:pPr>
        <w:pStyle w:val="ListParagraph"/>
        <w:numPr>
          <w:ilvl w:val="0"/>
          <w:numId w:val="2"/>
        </w:numPr>
        <w:spacing w:after="60" w:line="276"/>
      </w:pPr>
      <w:r>
        <w:rPr>
          <w:rFonts w:ascii="Calibri" w:cs="Calibri" w:eastAsia="Calibri" w:hAnsi="Calibri"/>
          <w:sz w:val="22"/>
          <w:szCs w:val="22"/>
        </w:rPr>
        <w:t xml:space="preserve">Project 9 reuses the covariance module; project 4 reuses the risk contribution function.</w:t>
      </w:r>
    </w:p>
    <w:p>
      <w:pPr>
        <w:pStyle w:val="ListParagraph"/>
        <w:numPr>
          <w:ilvl w:val="0"/>
          <w:numId w:val="2"/>
        </w:numPr>
        <w:spacing w:after="60" w:line="276"/>
      </w:pPr>
      <w:r>
        <w:rPr>
          <w:rFonts w:ascii="Calibri" w:cs="Calibri" w:eastAsia="Calibri" w:hAnsi="Calibri"/>
          <w:sz w:val="22"/>
          <w:szCs w:val="22"/>
        </w:rPr>
        <w:t xml:space="preserve">Keep a short design note on why each constraint exists in practice (mandate limits, liquidity, cost budgets), written in the language of a portfolio implementation desk.</w:t>
      </w:r>
    </w:p>
    <w:p>
      <w:pPr>
        <w:pStyle w:val="Heading1"/>
        <w:spacing w:after="120" w:before="320"/>
      </w:pPr>
      <w:r>
        <w:rPr>
          <w:rFonts w:ascii="Calibri" w:cs="Calibri" w:eastAsia="Calibri" w:hAnsi="Calibri"/>
          <w:b/>
          <w:bCs/>
          <w:color w:val="1F3A5F"/>
          <w:sz w:val="30"/>
          <w:szCs w:val="30"/>
        </w:rPr>
        <w:t xml:space="preserve">10. Where it will break</w:t>
      </w:r>
    </w:p>
    <w:p>
      <w:pPr>
        <w:pStyle w:val="ListParagraph"/>
        <w:numPr>
          <w:ilvl w:val="0"/>
          <w:numId w:val="2"/>
        </w:numPr>
        <w:spacing w:after="60" w:line="276"/>
      </w:pPr>
      <w:r>
        <w:rPr>
          <w:rFonts w:ascii="Calibri" w:cs="Calibri" w:eastAsia="Calibri" w:hAnsi="Calibri"/>
          <w:sz w:val="22"/>
          <w:szCs w:val="22"/>
        </w:rPr>
        <w:t xml:space="preserve">Solver failures when Σ is ill-conditioned: check the condition number and add a small ridge if above 1e6.</w:t>
      </w:r>
    </w:p>
    <w:p>
      <w:pPr>
        <w:pStyle w:val="ListParagraph"/>
        <w:numPr>
          <w:ilvl w:val="0"/>
          <w:numId w:val="2"/>
        </w:numPr>
        <w:spacing w:after="60" w:line="276"/>
      </w:pPr>
      <w:r>
        <w:rPr>
          <w:rFonts w:ascii="Calibri" w:cs="Calibri" w:eastAsia="Calibri" w:hAnsi="Calibri"/>
          <w:sz w:val="22"/>
          <w:szCs w:val="22"/>
        </w:rPr>
        <w:t xml:space="preserve">Black-Litterman is only as good as the views; with made-up views the comparison is not fair. State the views as simple momentum rules so they are mechanical.</w:t>
      </w:r>
    </w:p>
    <w:p>
      <w:pPr>
        <w:pStyle w:val="ListParagraph"/>
        <w:numPr>
          <w:ilvl w:val="0"/>
          <w:numId w:val="2"/>
        </w:numPr>
        <w:spacing w:after="60" w:line="276"/>
      </w:pPr>
      <w:r>
        <w:rPr>
          <w:rFonts w:ascii="Calibri" w:cs="Calibri" w:eastAsia="Calibri" w:hAnsi="Calibri"/>
          <w:sz w:val="22"/>
          <w:szCs w:val="22"/>
        </w:rPr>
        <w:t xml:space="preserve">ETF histories start at different dates; some go back only to 2010. Either shorten the window or handle missing assets explicitly.</w:t>
      </w:r>
    </w:p>
    <w:p>
      <w:pPr>
        <w:pStyle w:val="ListParagraph"/>
        <w:numPr>
          <w:ilvl w:val="0"/>
          <w:numId w:val="2"/>
        </w:numPr>
        <w:spacing w:after="60" w:line="276"/>
      </w:pPr>
      <w:r>
        <w:rPr>
          <w:rFonts w:ascii="Calibri" w:cs="Calibri" w:eastAsia="Calibri" w:hAnsi="Calibri"/>
          <w:sz w:val="22"/>
          <w:szCs w:val="22"/>
        </w:rPr>
        <w:t xml:space="preserve">Walk-forward results on 15 years of monthly data have wide confidence intervals; report bootstrap intervals on the Sharpe differences, not point estimates.</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Utkarsh Malhotra — Portfolio optimiser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2026-09-10T13:27:04.241Z</dcterms:created>
  <dcterms:modified xsi:type="dcterms:W3CDTF">2026-09-10T13:27:04.241Z</dcterms:modified>
</cp:coreProperties>
</file>

<file path=docProps/custom.xml><?xml version="1.0" encoding="utf-8"?>
<Properties xmlns="http://schemas.openxmlformats.org/officeDocument/2006/custom-properties" xmlns:vt="http://schemas.openxmlformats.org/officeDocument/2006/docPropsVTypes"/>
</file>