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6B7280"/>
          <w:sz w:val="20"/>
          <w:szCs w:val="20"/>
        </w:rPr>
        <w:t xml:space="preserve">Quant project 1 of 10</w:t>
      </w:r>
    </w:p>
    <w:p>
      <w:pPr>
        <w:spacing w:after="80"/>
      </w:pPr>
      <w:r>
        <w:rPr>
          <w:rFonts w:ascii="Calibri" w:cs="Calibri" w:eastAsia="Calibri" w:hAnsi="Calibri"/>
          <w:b/>
          <w:bCs/>
          <w:color w:val="1F3A5F"/>
          <w:sz w:val="44"/>
          <w:szCs w:val="44"/>
        </w:rPr>
        <w:t xml:space="preserve">Cross-Sectional Factor Backtester</w:t>
      </w:r>
    </w:p>
    <w:p>
      <w:pPr>
        <w:pBdr>
          <w:bottom w:val="single" w:color="1F3A5F" w:sz="8" w:space="6"/>
        </w:pBdr>
        <w:spacing w:after="200"/>
      </w:pPr>
      <w:r>
        <w:rPr>
          <w:rFonts w:ascii="Calibri" w:cs="Calibri" w:eastAsia="Calibri" w:hAnsi="Calibri"/>
          <w:i/>
          <w:iCs/>
          <w:color w:val="6B7280"/>
          <w:sz w:val="24"/>
          <w:szCs w:val="24"/>
        </w:rPr>
        <w:t xml:space="preserve">Point-in-time equity factor research with costs, decay and overfitting control</w:t>
      </w:r>
    </w:p>
    <w:tbl>
      <w:tblPr>
        <w:tblW w:type="dxa" w:w="9300"/>
        <w:tblBorders>
          <w:top w:val="single" w:color="BFC7D1" w:sz="4"/>
          <w:left w:val="single" w:color="BFC7D1" w:sz="4"/>
          <w:bottom w:val="single" w:color="BFC7D1" w:sz="4"/>
          <w:right w:val="single" w:color="BFC7D1" w:sz="4"/>
          <w:insideH w:val="single" w:color="BFC7D1" w:sz="4"/>
          <w:insideV w:val="single" w:color="BFC7D1" w:sz="4"/>
        </w:tblBorders>
      </w:tblPr>
      <w:tblGrid>
        <w:gridCol w:w="1300"/>
        <w:gridCol w:w="1300"/>
        <w:gridCol w:w="1400"/>
        <w:gridCol w:w="3300"/>
        <w:gridCol w:w="20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Data cost</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Build time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Target roles</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Feeds into</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1 (flagship)</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Free, narrower universe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4 to 6 weeks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Quant research, systematic equity, portfolio analytics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Projects 2, 4, 7</w:t>
            </w:r>
          </w:p>
        </w:tc>
      </w:tr>
    </w:tbl>
    <w:p>
      <w:pPr>
        <w:spacing w:after="120"/>
      </w:pPr>
    </w:p>
    <w:p>
      <w:pPr>
        <w:pStyle w:val="Heading1"/>
        <w:spacing w:after="120" w:before="320"/>
      </w:pPr>
      <w:r>
        <w:rPr>
          <w:rFonts w:ascii="Calibri" w:cs="Calibri" w:eastAsia="Calibri" w:hAnsi="Calibri"/>
          <w:b/>
          <w:bCs/>
          <w:color w:val="1F3A5F"/>
          <w:sz w:val="30"/>
          <w:szCs w:val="30"/>
        </w:rPr>
        <w:t xml:space="preserve">1. What this project is</w:t>
      </w:r>
    </w:p>
    <w:p>
      <w:pPr>
        <w:spacing w:after="120" w:line="276"/>
      </w:pPr>
      <w:r>
        <w:rPr>
          <w:rFonts w:ascii="Calibri" w:cs="Calibri" w:eastAsia="Calibri" w:hAnsi="Calibri"/>
          <w:sz w:val="22"/>
          <w:szCs w:val="22"/>
        </w:rPr>
        <w:t xml:space="preserve">A monthly-rebalanced factor backtester for US equities that treats data honesty as the main deliverable, not the returns. It takes point-in-time fundamentals from SEC filings, a reconstructed historical universe, and daily prices, and produces decile and long-short portfolios for value, momentum, quality and low volatility, with costs, turnover and statistical tests on top.</w:t>
      </w:r>
    </w:p>
    <w:p>
      <w:pPr>
        <w:spacing w:after="120" w:line="276"/>
      </w:pPr>
      <w:r>
        <w:rPr>
          <w:rFonts w:ascii="Calibri" w:cs="Calibri" w:eastAsia="Calibri" w:hAnsi="Calibri"/>
          <w:sz w:val="22"/>
          <w:szCs w:val="22"/>
        </w:rPr>
        <w:t xml:space="preserve">This is the public version of the cross-sectional signal work you did at Newton. An interviewer cannot see that work; they can open this repo and check whether the fundamentals are lagged correctly. That single check is what most candidate backtests fail.</w:t>
      </w:r>
    </w:p>
    <w:p>
      <w:pPr>
        <w:pStyle w:val="Heading1"/>
        <w:spacing w:after="120" w:before="320"/>
      </w:pPr>
      <w:r>
        <w:rPr>
          <w:rFonts w:ascii="Calibri" w:cs="Calibri" w:eastAsia="Calibri" w:hAnsi="Calibri"/>
          <w:b/>
          <w:bCs/>
          <w:color w:val="1F3A5F"/>
          <w:sz w:val="30"/>
          <w:szCs w:val="30"/>
        </w:rPr>
        <w:t xml:space="preserve">2. What we are trying to find</w:t>
      </w:r>
    </w:p>
    <w:p>
      <w:pPr>
        <w:pStyle w:val="ListParagraph"/>
        <w:numPr>
          <w:ilvl w:val="0"/>
          <w:numId w:val="2"/>
        </w:numPr>
        <w:spacing w:after="60" w:line="276"/>
      </w:pPr>
      <w:r>
        <w:rPr>
          <w:rFonts w:ascii="Calibri" w:cs="Calibri" w:eastAsia="Calibri" w:hAnsi="Calibri"/>
          <w:sz w:val="22"/>
          <w:szCs w:val="22"/>
        </w:rPr>
        <w:t xml:space="preserve">Do value, momentum, quality and low volatility earn a premium on a universe an outsider can verify, over 2010 to 2026?</w:t>
      </w:r>
    </w:p>
    <w:p>
      <w:pPr>
        <w:pStyle w:val="ListParagraph"/>
        <w:numPr>
          <w:ilvl w:val="0"/>
          <w:numId w:val="2"/>
        </w:numPr>
        <w:spacing w:after="60" w:line="276"/>
      </w:pPr>
      <w:r>
        <w:rPr>
          <w:rFonts w:ascii="Calibri" w:cs="Calibri" w:eastAsia="Calibri" w:hAnsi="Calibri"/>
          <w:sz w:val="22"/>
          <w:szCs w:val="22"/>
        </w:rPr>
        <w:t xml:space="preserve">How much of the paper return survives turnover, spreads, implementation lag and a 1-day trade delay?</w:t>
      </w:r>
    </w:p>
    <w:p>
      <w:pPr>
        <w:pStyle w:val="ListParagraph"/>
        <w:numPr>
          <w:ilvl w:val="0"/>
          <w:numId w:val="2"/>
        </w:numPr>
        <w:spacing w:after="60" w:line="276"/>
      </w:pPr>
      <w:r>
        <w:rPr>
          <w:rFonts w:ascii="Calibri" w:cs="Calibri" w:eastAsia="Calibri" w:hAnsi="Calibri"/>
          <w:sz w:val="22"/>
          <w:szCs w:val="22"/>
        </w:rPr>
        <w:t xml:space="preserve">How quickly does each signal decay (half-life), and what rebalance frequency follows from that?</w:t>
      </w:r>
    </w:p>
    <w:p>
      <w:pPr>
        <w:pStyle w:val="ListParagraph"/>
        <w:numPr>
          <w:ilvl w:val="0"/>
          <w:numId w:val="2"/>
        </w:numPr>
        <w:spacing w:after="60" w:line="276"/>
      </w:pPr>
      <w:r>
        <w:rPr>
          <w:rFonts w:ascii="Calibri" w:cs="Calibri" w:eastAsia="Calibri" w:hAnsi="Calibri"/>
          <w:sz w:val="22"/>
          <w:szCs w:val="22"/>
        </w:rPr>
        <w:t xml:space="preserve">How much of the result is multiple-testing luck once you count the number of specifications you tried?</w:t>
      </w:r>
    </w:p>
    <w:p>
      <w:pPr>
        <w:spacing w:after="120" w:line="276"/>
      </w:pPr>
      <w:r>
        <w:rPr>
          <w:rFonts w:ascii="Calibri" w:cs="Calibri" w:eastAsia="Calibri" w:hAnsi="Calibri"/>
          <w:sz w:val="22"/>
          <w:szCs w:val="22"/>
        </w:rPr>
        <w:t xml:space="preserve">The honest expected answer is that momentum and quality survive costs at a modest Sharpe, value is weak over this window, low vol has most of its return explained by duration and beta. If you find a 2.0 Sharpe, something is leaking.</w:t>
      </w:r>
    </w:p>
    <w:p>
      <w:pPr>
        <w:pStyle w:val="Heading1"/>
        <w:spacing w:after="120" w:before="320"/>
      </w:pPr>
      <w:r>
        <w:rPr>
          <w:rFonts w:ascii="Calibri" w:cs="Calibri" w:eastAsia="Calibri" w:hAnsi="Calibri"/>
          <w:b/>
          <w:bCs/>
          <w:color w:val="1F3A5F"/>
          <w:sz w:val="30"/>
          <w:szCs w:val="30"/>
        </w:rPr>
        <w:t xml:space="preserve">3. The task</w:t>
      </w:r>
    </w:p>
    <w:p>
      <w:pPr>
        <w:pStyle w:val="ListParagraph"/>
        <w:numPr>
          <w:ilvl w:val="0"/>
          <w:numId w:val="3"/>
        </w:numPr>
        <w:spacing w:after="80" w:line="276"/>
      </w:pPr>
      <w:r>
        <w:rPr>
          <w:rFonts w:ascii="Calibri" w:cs="Calibri" w:eastAsia="Calibri" w:hAnsi="Calibri"/>
          <w:sz w:val="22"/>
          <w:szCs w:val="22"/>
        </w:rPr>
        <w:t xml:space="preserve">Rebuild historical S&amp;P 500 membership month by month from the Wikipedia changes table, so that a stock is only in the universe on dates it was actually a member.</w:t>
      </w:r>
    </w:p>
    <w:p>
      <w:pPr>
        <w:pStyle w:val="ListParagraph"/>
        <w:numPr>
          <w:ilvl w:val="0"/>
          <w:numId w:val="3"/>
        </w:numPr>
        <w:spacing w:after="80" w:line="276"/>
      </w:pPr>
      <w:r>
        <w:rPr>
          <w:rFonts w:ascii="Calibri" w:cs="Calibri" w:eastAsia="Calibri" w:hAnsi="Calibri"/>
          <w:sz w:val="22"/>
          <w:szCs w:val="22"/>
        </w:rPr>
        <w:t xml:space="preserve">Load SEC Financial Statement Data Sets (sub, num, tag, pre files, quarterly zips from 2009). Keep each value keyed on the filing date, not the period end date.</w:t>
      </w:r>
    </w:p>
    <w:p>
      <w:pPr>
        <w:pStyle w:val="ListParagraph"/>
        <w:numPr>
          <w:ilvl w:val="0"/>
          <w:numId w:val="3"/>
        </w:numPr>
        <w:spacing w:after="80" w:line="276"/>
      </w:pPr>
      <w:r>
        <w:rPr>
          <w:rFonts w:ascii="Calibri" w:cs="Calibri" w:eastAsia="Calibri" w:hAnsi="Calibri"/>
          <w:sz w:val="22"/>
          <w:szCs w:val="22"/>
        </w:rPr>
        <w:t xml:space="preserve">Pull daily adjusted prices for every ticker that ever appeared, including delisted names where a source exists; log every name you could not get.</w:t>
      </w:r>
    </w:p>
    <w:p>
      <w:pPr>
        <w:pStyle w:val="ListParagraph"/>
        <w:numPr>
          <w:ilvl w:val="0"/>
          <w:numId w:val="3"/>
        </w:numPr>
        <w:spacing w:after="80" w:line="276"/>
      </w:pPr>
      <w:r>
        <w:rPr>
          <w:rFonts w:ascii="Calibri" w:cs="Calibri" w:eastAsia="Calibri" w:hAnsi="Calibri"/>
          <w:sz w:val="22"/>
          <w:szCs w:val="22"/>
        </w:rPr>
        <w:t xml:space="preserve">Build signals: book-to-price, earnings yield, 12-1 month momentum, gross profitability, accruals, asset growth, 252-day volatility, market beta.</w:t>
      </w:r>
    </w:p>
    <w:p>
      <w:pPr>
        <w:pStyle w:val="ListParagraph"/>
        <w:numPr>
          <w:ilvl w:val="0"/>
          <w:numId w:val="3"/>
        </w:numPr>
        <w:spacing w:after="80" w:line="276"/>
      </w:pPr>
      <w:r>
        <w:rPr>
          <w:rFonts w:ascii="Calibri" w:cs="Calibri" w:eastAsia="Calibri" w:hAnsi="Calibri"/>
          <w:sz w:val="22"/>
          <w:szCs w:val="22"/>
        </w:rPr>
        <w:t xml:space="preserve">Winsorise, sector-neutralise and z-score each signal at each month end using only data available on that date.</w:t>
      </w:r>
    </w:p>
    <w:p>
      <w:pPr>
        <w:pStyle w:val="ListParagraph"/>
        <w:numPr>
          <w:ilvl w:val="0"/>
          <w:numId w:val="3"/>
        </w:numPr>
        <w:spacing w:after="80" w:line="276"/>
      </w:pPr>
      <w:r>
        <w:rPr>
          <w:rFonts w:ascii="Calibri" w:cs="Calibri" w:eastAsia="Calibri" w:hAnsi="Calibri"/>
          <w:sz w:val="22"/>
          <w:szCs w:val="22"/>
        </w:rPr>
        <w:t xml:space="preserve">Form decile portfolios and a long-short top-minus-bottom portfolio, equal and cap weighted, held for 1 month with a 1-day execution lag.</w:t>
      </w:r>
    </w:p>
    <w:p>
      <w:pPr>
        <w:pStyle w:val="ListParagraph"/>
        <w:numPr>
          <w:ilvl w:val="0"/>
          <w:numId w:val="3"/>
        </w:numPr>
        <w:spacing w:after="80" w:line="276"/>
      </w:pPr>
      <w:r>
        <w:rPr>
          <w:rFonts w:ascii="Calibri" w:cs="Calibri" w:eastAsia="Calibri" w:hAnsi="Calibri"/>
          <w:sz w:val="22"/>
          <w:szCs w:val="22"/>
        </w:rPr>
        <w:t xml:space="preserve">Apply a cost model and compute net returns, turnover, IC series, Fama-MacBeth premia, Sharpe, drawdown, and deflated Sharpe.</w:t>
      </w:r>
    </w:p>
    <w:p>
      <w:pPr>
        <w:pStyle w:val="ListParagraph"/>
        <w:numPr>
          <w:ilvl w:val="0"/>
          <w:numId w:val="3"/>
        </w:numPr>
        <w:spacing w:after="80" w:line="276"/>
      </w:pPr>
      <w:r>
        <w:rPr>
          <w:rFonts w:ascii="Calibri" w:cs="Calibri" w:eastAsia="Calibri" w:hAnsi="Calibri"/>
          <w:sz w:val="22"/>
          <w:szCs w:val="22"/>
        </w:rPr>
        <w:t xml:space="preserve">Validate against Ken French HML, UMD and RMW: your long-short series should correlate above 0.7 with the corresponding French factor. If it does not, the pipeline is wrong.</w:t>
      </w:r>
    </w:p>
    <w:p>
      <w:pPr>
        <w:pStyle w:val="ListParagraph"/>
        <w:numPr>
          <w:ilvl w:val="0"/>
          <w:numId w:val="3"/>
        </w:numPr>
        <w:spacing w:after="80" w:line="276"/>
      </w:pPr>
      <w:r>
        <w:rPr>
          <w:rFonts w:ascii="Calibri" w:cs="Calibri" w:eastAsia="Calibri" w:hAnsi="Calibri"/>
          <w:sz w:val="22"/>
          <w:szCs w:val="22"/>
        </w:rPr>
        <w:t xml:space="preserve">Write the README with a results table, 4 charts, and a section titled What did not work.</w:t>
      </w:r>
    </w:p>
    <w:p>
      <w:pPr>
        <w:pStyle w:val="Heading1"/>
        <w:spacing w:after="120" w:before="320"/>
      </w:pPr>
      <w:r>
        <w:rPr>
          <w:rFonts w:ascii="Calibri" w:cs="Calibri" w:eastAsia="Calibri" w:hAnsi="Calibri"/>
          <w:b/>
          <w:bCs/>
          <w:color w:val="1F3A5F"/>
          <w:sz w:val="30"/>
          <w:szCs w:val="30"/>
        </w:rPr>
        <w:t xml:space="preserve">4. Data</w:t>
      </w:r>
    </w:p>
    <w:tbl>
      <w:tblPr>
        <w:tblW w:type="dxa" w:w="9300"/>
        <w:tblBorders>
          <w:top w:val="single" w:color="BFC7D1" w:sz="4"/>
          <w:left w:val="single" w:color="BFC7D1" w:sz="4"/>
          <w:bottom w:val="single" w:color="BFC7D1" w:sz="4"/>
          <w:right w:val="single" w:color="BFC7D1" w:sz="4"/>
          <w:insideH w:val="single" w:color="BFC7D1" w:sz="4"/>
          <w:insideV w:val="single" w:color="BFC7D1" w:sz="4"/>
        </w:tblBorders>
      </w:tblPr>
      <w:tblGrid>
        <w:gridCol w:w="2000"/>
        <w:gridCol w:w="3400"/>
        <w:gridCol w:w="39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Need</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Source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Notes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Universe history</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Wikipedia S&amp;P 500 component changes table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Parse additions and removals; store as membership intervals per ticker</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Fundamentals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SEC Financial Statement Data Sets (sec.gov/dera)</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Quarterly zips, 2009 onward; filing date is the point-in-time key</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Prices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yfinance, Stooq</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Adjusted close and volume; delisted coverage is patchy, document it</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Sector map</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SIC codes from EDGAR company facts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Map SIC to 11 GICS-like buckets by hand</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Factor benchmarks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Ken French data library</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Monthly Mkt, SMB, HML, RMW, CMA, UMD for validation</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Risk-free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FRED DGS1MO or French RF</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For excess returns</w:t>
            </w:r>
          </w:p>
        </w:tc>
      </w:tr>
    </w:tbl>
    <w:p>
      <w:pPr>
        <w:spacing w:after="120"/>
      </w:pPr>
    </w:p>
    <w:p>
      <w:pPr>
        <w:spacing w:after="120" w:line="276"/>
      </w:pPr>
      <w:r>
        <w:rPr>
          <w:rFonts w:ascii="Calibri" w:cs="Calibri" w:eastAsia="Calibri" w:hAnsi="Calibri"/>
          <w:sz w:val="22"/>
          <w:szCs w:val="22"/>
        </w:rPr>
        <w:t xml:space="preserve">The universe restriction is the compromise free data forces on you. State it in the README, quantify it (roughly 500 names per month, 1,100 unique names over the window), and explain what a Russell 3000 version would need.</w:t>
      </w:r>
    </w:p>
    <w:p>
      <w:pPr>
        <w:pStyle w:val="Heading1"/>
        <w:spacing w:after="120" w:before="320"/>
      </w:pPr>
      <w:r>
        <w:rPr>
          <w:rFonts w:ascii="Calibri" w:cs="Calibri" w:eastAsia="Calibri" w:hAnsi="Calibri"/>
          <w:b/>
          <w:bCs/>
          <w:color w:val="1F3A5F"/>
          <w:sz w:val="30"/>
          <w:szCs w:val="30"/>
        </w:rPr>
        <w:t xml:space="preserve">5. What you should learn</w:t>
      </w:r>
    </w:p>
    <w:p>
      <w:pPr>
        <w:pStyle w:val="ListParagraph"/>
        <w:numPr>
          <w:ilvl w:val="0"/>
          <w:numId w:val="2"/>
        </w:numPr>
        <w:spacing w:after="60" w:line="276"/>
      </w:pPr>
      <w:r>
        <w:rPr>
          <w:rFonts w:ascii="Calibri" w:cs="Calibri" w:eastAsia="Calibri" w:hAnsi="Calibri"/>
          <w:sz w:val="22"/>
          <w:szCs w:val="22"/>
        </w:rPr>
        <w:t xml:space="preserve">Point-in-time joins: the fundamental value used at month t must have been filed before t. Use an as-of merge on filing date, then add a further 1-day buffer.</w:t>
      </w:r>
    </w:p>
    <w:p>
      <w:pPr>
        <w:pStyle w:val="ListParagraph"/>
        <w:numPr>
          <w:ilvl w:val="0"/>
          <w:numId w:val="2"/>
        </w:numPr>
        <w:spacing w:after="60" w:line="276"/>
      </w:pPr>
      <w:r>
        <w:rPr>
          <w:rFonts w:ascii="Calibri" w:cs="Calibri" w:eastAsia="Calibri" w:hAnsi="Calibri"/>
          <w:sz w:val="22"/>
          <w:szCs w:val="22"/>
        </w:rPr>
        <w:t xml:space="preserve">Lag conventions from the literature: Fama-French use fiscal year-end data from year t-1 starting in July of year t. Understand why, then do better with filing dates.</w:t>
      </w:r>
    </w:p>
    <w:p>
      <w:pPr>
        <w:pStyle w:val="ListParagraph"/>
        <w:numPr>
          <w:ilvl w:val="0"/>
          <w:numId w:val="2"/>
        </w:numPr>
        <w:spacing w:after="60" w:line="276"/>
      </w:pPr>
      <w:r>
        <w:rPr>
          <w:rFonts w:ascii="Calibri" w:cs="Calibri" w:eastAsia="Calibri" w:hAnsi="Calibri"/>
          <w:sz w:val="22"/>
          <w:szCs w:val="22"/>
        </w:rPr>
        <w:t xml:space="preserve">Cross-sectional normalisation: winsorise at 1st and 99th percentile, demean within sector, divide by sector standard deviation.</w:t>
      </w:r>
    </w:p>
    <w:p>
      <w:pPr>
        <w:pStyle w:val="ListParagraph"/>
        <w:numPr>
          <w:ilvl w:val="0"/>
          <w:numId w:val="2"/>
        </w:numPr>
        <w:spacing w:after="60" w:line="276"/>
      </w:pPr>
      <w:r>
        <w:rPr>
          <w:rFonts w:ascii="Calibri" w:cs="Calibri" w:eastAsia="Calibri" w:hAnsi="Calibri"/>
          <w:sz w:val="22"/>
          <w:szCs w:val="22"/>
        </w:rPr>
        <w:t xml:space="preserve">Information coefficient, IC decay, and signal half-life.</w:t>
      </w:r>
    </w:p>
    <w:p>
      <w:pPr>
        <w:pStyle w:val="ListParagraph"/>
        <w:numPr>
          <w:ilvl w:val="0"/>
          <w:numId w:val="2"/>
        </w:numPr>
        <w:spacing w:after="60" w:line="276"/>
      </w:pPr>
      <w:r>
        <w:rPr>
          <w:rFonts w:ascii="Calibri" w:cs="Calibri" w:eastAsia="Calibri" w:hAnsi="Calibri"/>
          <w:sz w:val="22"/>
          <w:szCs w:val="22"/>
        </w:rPr>
        <w:t xml:space="preserve">Fama-MacBeth regressions and Newey-West standard errors.</w:t>
      </w:r>
    </w:p>
    <w:p>
      <w:pPr>
        <w:pStyle w:val="ListParagraph"/>
        <w:numPr>
          <w:ilvl w:val="0"/>
          <w:numId w:val="2"/>
        </w:numPr>
        <w:spacing w:after="60" w:line="276"/>
      </w:pPr>
      <w:r>
        <w:rPr>
          <w:rFonts w:ascii="Calibri" w:cs="Calibri" w:eastAsia="Calibri" w:hAnsi="Calibri"/>
          <w:sz w:val="22"/>
          <w:szCs w:val="22"/>
        </w:rPr>
        <w:t xml:space="preserve">Turnover, cost models, and why a 0.5 monthly IC can produce a losing strategy after costs.</w:t>
      </w:r>
    </w:p>
    <w:p>
      <w:pPr>
        <w:pStyle w:val="ListParagraph"/>
        <w:numPr>
          <w:ilvl w:val="0"/>
          <w:numId w:val="2"/>
        </w:numPr>
        <w:spacing w:after="60" w:line="276"/>
      </w:pPr>
      <w:r>
        <w:rPr>
          <w:rFonts w:ascii="Calibri" w:cs="Calibri" w:eastAsia="Calibri" w:hAnsi="Calibri"/>
          <w:sz w:val="22"/>
          <w:szCs w:val="22"/>
        </w:rPr>
        <w:t xml:space="preserve">Multiple testing: deflated Sharpe ratio and the haircut you owe for every specification you tried.</w:t>
      </w:r>
    </w:p>
    <w:p>
      <w:pPr>
        <w:pStyle w:val="ListParagraph"/>
        <w:numPr>
          <w:ilvl w:val="0"/>
          <w:numId w:val="2"/>
        </w:numPr>
        <w:spacing w:after="60" w:line="276"/>
      </w:pPr>
      <w:r>
        <w:rPr>
          <w:rFonts w:ascii="Calibri" w:cs="Calibri" w:eastAsia="Calibri" w:hAnsi="Calibri"/>
          <w:sz w:val="22"/>
          <w:szCs w:val="22"/>
        </w:rPr>
        <w:t xml:space="preserve">Why equal-weight decile spreads flatter results (small-cap effect, illiquid names) and how cap-weighting changes them.</w:t>
      </w:r>
    </w:p>
    <w:p>
      <w:pPr>
        <w:pStyle w:val="Heading1"/>
        <w:spacing w:after="120" w:before="320"/>
      </w:pPr>
      <w:r>
        <w:rPr>
          <w:rFonts w:ascii="Calibri" w:cs="Calibri" w:eastAsia="Calibri" w:hAnsi="Calibri"/>
          <w:b/>
          <w:bCs/>
          <w:color w:val="1F3A5F"/>
          <w:sz w:val="30"/>
          <w:szCs w:val="30"/>
        </w:rPr>
        <w:t xml:space="preserve">6. Methods and the maths</w:t>
      </w:r>
    </w:p>
    <w:p>
      <w:pPr>
        <w:pStyle w:val="Heading2"/>
        <w:spacing w:after="80" w:before="220"/>
      </w:pPr>
      <w:r>
        <w:rPr>
          <w:rFonts w:ascii="Calibri" w:cs="Calibri" w:eastAsia="Calibri" w:hAnsi="Calibri"/>
          <w:b/>
          <w:bCs/>
          <w:color w:val="1F3A5F"/>
          <w:sz w:val="24"/>
          <w:szCs w:val="24"/>
        </w:rPr>
        <w:t xml:space="preserve">6.1 Signal construction</w:t>
      </w:r>
    </w:p>
    <w:p>
      <w:pPr>
        <w:spacing w:after="120" w:line="276"/>
      </w:pPr>
      <w:r>
        <w:rPr>
          <w:rFonts w:ascii="Calibri" w:cs="Calibri" w:eastAsia="Calibri" w:hAnsi="Calibri"/>
          <w:sz w:val="22"/>
          <w:szCs w:val="22"/>
        </w:rPr>
        <w:t xml:space="preserve">For signal x on stock i in sector s at date t:</w:t>
      </w:r>
    </w:p>
    <w:p>
      <w:pPr>
        <w:spacing w:after="40" w:before="100" w:line="320"/>
        <w:ind w:left="720"/>
      </w:pPr>
      <w:r>
        <w:rPr>
          <w:rFonts w:ascii="Cambria Math" w:cs="Cambria Math" w:eastAsia="Cambria Math" w:hAnsi="Cambria Math"/>
          <w:sz w:val="23"/>
          <w:szCs w:val="23"/>
        </w:rPr>
        <w:t xml:space="preserve">z_i,t = ( x_i,t − μ_s,t ) / σ_s,t</w:t>
      </w:r>
    </w:p>
    <w:p>
      <w:pPr>
        <w:spacing w:after="160" w:before="40" w:line="260"/>
        <w:ind w:left="720"/>
      </w:pPr>
      <w:r>
        <w:rPr>
          <w:rFonts w:ascii="Calibri" w:cs="Calibri" w:eastAsia="Calibri" w:hAnsi="Calibri"/>
          <w:i/>
          <w:iCs/>
          <w:color w:val="6B7280"/>
          <w:sz w:val="19"/>
          <w:szCs w:val="19"/>
        </w:rPr>
        <w:t xml:space="preserve">μ and σ are the sector cross-sectional mean and standard deviation after winsorisation. Composite factors are averages of z-scores, re-standardised.</w:t>
      </w:r>
    </w:p>
    <w:p>
      <w:pPr>
        <w:spacing w:after="120" w:line="276"/>
      </w:pPr>
      <w:r>
        <w:rPr>
          <w:rFonts w:ascii="Calibri" w:cs="Calibri" w:eastAsia="Calibri" w:hAnsi="Calibri"/>
          <w:sz w:val="22"/>
          <w:szCs w:val="22"/>
        </w:rPr>
        <w:t xml:space="preserve">Momentum is the cumulative return from month t-12 to t-1, skipping the last month to avoid short-term reversal:</w:t>
      </w:r>
    </w:p>
    <w:p>
      <w:pPr>
        <w:spacing w:after="160" w:before="100" w:line="320"/>
        <w:ind w:left="720"/>
      </w:pPr>
      <w:r>
        <w:rPr>
          <w:rFonts w:ascii="Cambria Math" w:cs="Cambria Math" w:eastAsia="Cambria Math" w:hAnsi="Cambria Math"/>
          <w:sz w:val="23"/>
          <w:szCs w:val="23"/>
        </w:rPr>
        <w:t xml:space="preserve">MOM_i,t = ∏_{k=2}^{12} (1 + r_i,t−k) − 1</w:t>
      </w:r>
    </w:p>
    <w:p>
      <w:pPr>
        <w:pStyle w:val="Heading2"/>
        <w:spacing w:after="80" w:before="220"/>
      </w:pPr>
      <w:r>
        <w:rPr>
          <w:rFonts w:ascii="Calibri" w:cs="Calibri" w:eastAsia="Calibri" w:hAnsi="Calibri"/>
          <w:b/>
          <w:bCs/>
          <w:color w:val="1F3A5F"/>
          <w:sz w:val="24"/>
          <w:szCs w:val="24"/>
        </w:rPr>
        <w:t xml:space="preserve">6.2 Information coefficient</w:t>
      </w:r>
    </w:p>
    <w:p>
      <w:pPr>
        <w:spacing w:after="120" w:line="276"/>
      </w:pPr>
      <w:r>
        <w:rPr>
          <w:rFonts w:ascii="Calibri" w:cs="Calibri" w:eastAsia="Calibri" w:hAnsi="Calibri"/>
          <w:sz w:val="22"/>
          <w:szCs w:val="22"/>
        </w:rPr>
        <w:t xml:space="preserve">Rank IC at date t is the Spearman correlation between the signal cross-section and next-month returns:</w:t>
      </w:r>
    </w:p>
    <w:p>
      <w:pPr>
        <w:spacing w:after="160" w:before="100" w:line="320"/>
        <w:ind w:left="720"/>
      </w:pPr>
      <w:r>
        <w:rPr>
          <w:rFonts w:ascii="Cambria Math" w:cs="Cambria Math" w:eastAsia="Cambria Math" w:hAnsi="Cambria Math"/>
          <w:sz w:val="23"/>
          <w:szCs w:val="23"/>
        </w:rPr>
        <w:t xml:space="preserve">IC_t = ρ_Spearman( z_·,t , r_·,t+1 )</w:t>
      </w:r>
    </w:p>
    <w:p>
      <w:pPr>
        <w:spacing w:after="40" w:before="100" w:line="320"/>
        <w:ind w:left="720"/>
      </w:pPr>
      <w:r>
        <w:rPr>
          <w:rFonts w:ascii="Cambria Math" w:cs="Cambria Math" w:eastAsia="Cambria Math" w:hAnsi="Cambria Math"/>
          <w:sz w:val="23"/>
          <w:szCs w:val="23"/>
        </w:rPr>
        <w:t xml:space="preserve">IR_IC = mean(IC_t) / std(IC_t) × √12</w:t>
      </w:r>
    </w:p>
    <w:p>
      <w:pPr>
        <w:spacing w:after="160" w:before="40" w:line="260"/>
        <w:ind w:left="720"/>
      </w:pPr>
      <w:r>
        <w:rPr>
          <w:rFonts w:ascii="Calibri" w:cs="Calibri" w:eastAsia="Calibri" w:hAnsi="Calibri"/>
          <w:i/>
          <w:iCs/>
          <w:color w:val="6B7280"/>
          <w:sz w:val="19"/>
          <w:szCs w:val="19"/>
        </w:rPr>
        <w:t xml:space="preserve">Annualised IC information ratio. Above 0.5 is good for a single factor on large caps.</w:t>
      </w:r>
    </w:p>
    <w:p>
      <w:pPr>
        <w:spacing w:after="120" w:line="276"/>
      </w:pPr>
      <w:r>
        <w:rPr>
          <w:rFonts w:ascii="Calibri" w:cs="Calibri" w:eastAsia="Calibri" w:hAnsi="Calibri"/>
          <w:sz w:val="22"/>
          <w:szCs w:val="22"/>
        </w:rPr>
        <w:t xml:space="preserve">Signal decay: compute IC against returns at horizons h = 1, 2, 3, 6, 12 months and fit an exponential; the half-life tells you the natural rebalance frequency.</w:t>
      </w:r>
    </w:p>
    <w:p>
      <w:pPr>
        <w:pStyle w:val="Heading2"/>
        <w:spacing w:after="80" w:before="220"/>
      </w:pPr>
      <w:r>
        <w:rPr>
          <w:rFonts w:ascii="Calibri" w:cs="Calibri" w:eastAsia="Calibri" w:hAnsi="Calibri"/>
          <w:b/>
          <w:bCs/>
          <w:color w:val="1F3A5F"/>
          <w:sz w:val="24"/>
          <w:szCs w:val="24"/>
        </w:rPr>
        <w:t xml:space="preserve">6.3 Fama-MacBeth premia</w:t>
      </w:r>
    </w:p>
    <w:p>
      <w:pPr>
        <w:spacing w:after="120" w:line="276"/>
      </w:pPr>
      <w:r>
        <w:rPr>
          <w:rFonts w:ascii="Calibri" w:cs="Calibri" w:eastAsia="Calibri" w:hAnsi="Calibri"/>
          <w:sz w:val="22"/>
          <w:szCs w:val="22"/>
        </w:rPr>
        <w:t xml:space="preserve">At each date run the cross-sectional regression</w:t>
      </w:r>
    </w:p>
    <w:p>
      <w:pPr>
        <w:spacing w:after="160" w:before="100" w:line="320"/>
        <w:ind w:left="720"/>
      </w:pPr>
      <w:r>
        <w:rPr>
          <w:rFonts w:ascii="Cambria Math" w:cs="Cambria Math" w:eastAsia="Cambria Math" w:hAnsi="Cambria Math"/>
          <w:sz w:val="23"/>
          <w:szCs w:val="23"/>
        </w:rPr>
        <w:t xml:space="preserve">r_i,t+1 = a_t + λ_t′ z_i,t + ε_i,t+1</w:t>
      </w:r>
    </w:p>
    <w:p>
      <w:pPr>
        <w:spacing w:after="120" w:line="276"/>
      </w:pPr>
      <w:r>
        <w:rPr>
          <w:rFonts w:ascii="Calibri" w:cs="Calibri" w:eastAsia="Calibri" w:hAnsi="Calibri"/>
          <w:sz w:val="22"/>
          <w:szCs w:val="22"/>
        </w:rPr>
        <w:t xml:space="preserve">The factor premium is the time-series mean of λ_t. Because monthly premia are autocorrelated when signals overlap, use Newey-West standard errors with lag L:</w:t>
      </w:r>
    </w:p>
    <w:p>
      <w:pPr>
        <w:spacing w:after="40" w:before="100" w:line="320"/>
        <w:ind w:left="720"/>
      </w:pPr>
      <w:r>
        <w:rPr>
          <w:rFonts w:ascii="Cambria Math" w:cs="Cambria Math" w:eastAsia="Cambria Math" w:hAnsi="Cambria Math"/>
          <w:sz w:val="23"/>
          <w:szCs w:val="23"/>
        </w:rPr>
        <w:t xml:space="preserve">Var_NW(λ̄) = (1/T) [ γ_0 + 2 Σ_{l=1}^{L} (1 − l/(L+1)) γ_l ]</w:t>
      </w:r>
    </w:p>
    <w:p>
      <w:pPr>
        <w:spacing w:after="160" w:before="40" w:line="260"/>
        <w:ind w:left="720"/>
      </w:pPr>
      <w:r>
        <w:rPr>
          <w:rFonts w:ascii="Calibri" w:cs="Calibri" w:eastAsia="Calibri" w:hAnsi="Calibri"/>
          <w:i/>
          <w:iCs/>
          <w:color w:val="6B7280"/>
          <w:sz w:val="19"/>
          <w:szCs w:val="19"/>
        </w:rPr>
        <w:t xml:space="preserve">γ_l is the lag-l autocovariance of λ_t. Use L equal to the holding period minus 1.</w:t>
      </w:r>
    </w:p>
    <w:p>
      <w:pPr>
        <w:pStyle w:val="Heading2"/>
        <w:spacing w:after="80" w:before="220"/>
      </w:pPr>
      <w:r>
        <w:rPr>
          <w:rFonts w:ascii="Calibri" w:cs="Calibri" w:eastAsia="Calibri" w:hAnsi="Calibri"/>
          <w:b/>
          <w:bCs/>
          <w:color w:val="1F3A5F"/>
          <w:sz w:val="24"/>
          <w:szCs w:val="24"/>
        </w:rPr>
        <w:t xml:space="preserve">6.4 Portfolio returns, turnover and costs</w:t>
      </w:r>
    </w:p>
    <w:p>
      <w:pPr>
        <w:spacing w:after="40" w:before="100" w:line="320"/>
        <w:ind w:left="720"/>
      </w:pPr>
      <w:r>
        <w:rPr>
          <w:rFonts w:ascii="Cambria Math" w:cs="Cambria Math" w:eastAsia="Cambria Math" w:hAnsi="Cambria Math"/>
          <w:sz w:val="23"/>
          <w:szCs w:val="23"/>
        </w:rPr>
        <w:t xml:space="preserve">TO_t = ½ Σ_i | w_i,t − w_i,t⁻ |</w:t>
      </w:r>
    </w:p>
    <w:p>
      <w:pPr>
        <w:spacing w:after="160" w:before="40" w:line="260"/>
        <w:ind w:left="720"/>
      </w:pPr>
      <w:r>
        <w:rPr>
          <w:rFonts w:ascii="Calibri" w:cs="Calibri" w:eastAsia="Calibri" w:hAnsi="Calibri"/>
          <w:i/>
          <w:iCs/>
          <w:color w:val="6B7280"/>
          <w:sz w:val="19"/>
          <w:szCs w:val="19"/>
        </w:rPr>
        <w:t xml:space="preserve">w_i,t⁻ is the weight after drift but before rebalancing. Long-short turnover counts both legs.</w:t>
      </w:r>
    </w:p>
    <w:p>
      <w:pPr>
        <w:spacing w:after="40" w:before="100" w:line="320"/>
        <w:ind w:left="720"/>
      </w:pPr>
      <w:r>
        <w:rPr>
          <w:rFonts w:ascii="Cambria Math" w:cs="Cambria Math" w:eastAsia="Cambria Math" w:hAnsi="Cambria Math"/>
          <w:sz w:val="23"/>
          <w:szCs w:val="23"/>
        </w:rPr>
        <w:t xml:space="preserve">r_net,t = r_gross,t − c × TO_t</w:t>
      </w:r>
    </w:p>
    <w:p>
      <w:pPr>
        <w:spacing w:after="160" w:before="40" w:line="260"/>
        <w:ind w:left="720"/>
      </w:pPr>
      <w:r>
        <w:rPr>
          <w:rFonts w:ascii="Calibri" w:cs="Calibri" w:eastAsia="Calibri" w:hAnsi="Calibri"/>
          <w:i/>
          <w:iCs/>
          <w:color w:val="6B7280"/>
          <w:sz w:val="19"/>
          <w:szCs w:val="19"/>
        </w:rPr>
        <w:t xml:space="preserve">c is one-way cost. Use 10 bp for large caps as the base case, then show 5 and 25 bp.</w:t>
      </w:r>
    </w:p>
    <w:p>
      <w:pPr>
        <w:spacing w:after="120" w:line="276"/>
      </w:pPr>
      <w:r>
        <w:rPr>
          <w:rFonts w:ascii="Calibri" w:cs="Calibri" w:eastAsia="Calibri" w:hAnsi="Calibri"/>
          <w:sz w:val="22"/>
          <w:szCs w:val="22"/>
        </w:rPr>
        <w:t xml:space="preserve">Also report the break-even cost: the c at which net Sharpe equals zero. It is a more useful number than any single net return.</w:t>
      </w:r>
    </w:p>
    <w:p>
      <w:pPr>
        <w:pStyle w:val="Heading2"/>
        <w:spacing w:after="80" w:before="220"/>
      </w:pPr>
      <w:r>
        <w:rPr>
          <w:rFonts w:ascii="Calibri" w:cs="Calibri" w:eastAsia="Calibri" w:hAnsi="Calibri"/>
          <w:b/>
          <w:bCs/>
          <w:color w:val="1F3A5F"/>
          <w:sz w:val="24"/>
          <w:szCs w:val="24"/>
        </w:rPr>
        <w:t xml:space="preserve">6.5 Deflated Sharpe ratio</w:t>
      </w:r>
    </w:p>
    <w:p>
      <w:pPr>
        <w:spacing w:after="120" w:line="276"/>
      </w:pPr>
      <w:r>
        <w:rPr>
          <w:rFonts w:ascii="Calibri" w:cs="Calibri" w:eastAsia="Calibri" w:hAnsi="Calibri"/>
          <w:sz w:val="22"/>
          <w:szCs w:val="22"/>
        </w:rPr>
        <w:t xml:space="preserve">If you tried N specifications, the expected maximum Sharpe under the null is not zero. Bailey and López de Prado give</w:t>
      </w:r>
    </w:p>
    <w:p>
      <w:pPr>
        <w:spacing w:after="40" w:before="100" w:line="320"/>
        <w:ind w:left="720"/>
      </w:pPr>
      <w:r>
        <w:rPr>
          <w:rFonts w:ascii="Cambria Math" w:cs="Cambria Math" w:eastAsia="Cambria Math" w:hAnsi="Cambria Math"/>
          <w:sz w:val="23"/>
          <w:szCs w:val="23"/>
        </w:rPr>
        <w:t xml:space="preserve">SR₀ = √V[SR] × [ (1−γ) Φ⁻¹(1 − 1/N) + γ Φ⁻¹(1 − 1/(N e)) ]</w:t>
      </w:r>
    </w:p>
    <w:p>
      <w:pPr>
        <w:spacing w:after="160" w:before="40" w:line="260"/>
        <w:ind w:left="720"/>
      </w:pPr>
      <w:r>
        <w:rPr>
          <w:rFonts w:ascii="Calibri" w:cs="Calibri" w:eastAsia="Calibri" w:hAnsi="Calibri"/>
          <w:i/>
          <w:iCs/>
          <w:color w:val="6B7280"/>
          <w:sz w:val="19"/>
          <w:szCs w:val="19"/>
        </w:rPr>
        <w:t xml:space="preserve">γ is the Euler-Mascheroni constant 0.5772, V[SR] the variance of Sharpe across your trials.</w:t>
      </w:r>
    </w:p>
    <w:p>
      <w:pPr>
        <w:spacing w:after="40" w:before="100" w:line="320"/>
        <w:ind w:left="720"/>
      </w:pPr>
      <w:r>
        <w:rPr>
          <w:rFonts w:ascii="Cambria Math" w:cs="Cambria Math" w:eastAsia="Cambria Math" w:hAnsi="Cambria Math"/>
          <w:sz w:val="23"/>
          <w:szCs w:val="23"/>
        </w:rPr>
        <w:t xml:space="preserve">DSR = Φ( (SR − SR₀) √(T−1) / √( 1 − γ₃ SR + ((γ₄ − 1)/4) SR² ) )</w:t>
      </w:r>
    </w:p>
    <w:p>
      <w:pPr>
        <w:spacing w:after="160" w:before="40" w:line="260"/>
        <w:ind w:left="720"/>
      </w:pPr>
      <w:r>
        <w:rPr>
          <w:rFonts w:ascii="Calibri" w:cs="Calibri" w:eastAsia="Calibri" w:hAnsi="Calibri"/>
          <w:i/>
          <w:iCs/>
          <w:color w:val="6B7280"/>
          <w:sz w:val="19"/>
          <w:szCs w:val="19"/>
        </w:rPr>
        <w:t xml:space="preserve">γ₃ and γ₄ are skew and kurtosis of the return series. Report DSR alongside the raw Sharpe.</w:t>
      </w:r>
    </w:p>
    <w:p>
      <w:pPr>
        <w:pStyle w:val="Heading2"/>
        <w:spacing w:after="80" w:before="220"/>
      </w:pPr>
      <w:r>
        <w:rPr>
          <w:rFonts w:ascii="Calibri" w:cs="Calibri" w:eastAsia="Calibri" w:hAnsi="Calibri"/>
          <w:b/>
          <w:bCs/>
          <w:color w:val="1F3A5F"/>
          <w:sz w:val="24"/>
          <w:szCs w:val="24"/>
        </w:rPr>
        <w:t xml:space="preserve">6.6 Attribution to known factors</w:t>
      </w:r>
    </w:p>
    <w:p>
      <w:pPr>
        <w:spacing w:after="120" w:line="276"/>
      </w:pPr>
      <w:r>
        <w:rPr>
          <w:rFonts w:ascii="Calibri" w:cs="Calibri" w:eastAsia="Calibri" w:hAnsi="Calibri"/>
          <w:sz w:val="22"/>
          <w:szCs w:val="22"/>
        </w:rPr>
        <w:t xml:space="preserve">Regress each long-short series on the French factors. A large unexplained alpha on a plain value signal means an error, not a discovery.</w:t>
      </w:r>
    </w:p>
    <w:p>
      <w:pPr>
        <w:spacing w:after="160" w:before="100" w:line="320"/>
        <w:ind w:left="720"/>
      </w:pPr>
      <w:r>
        <w:rPr>
          <w:rFonts w:ascii="Cambria Math" w:cs="Cambria Math" w:eastAsia="Cambria Math" w:hAnsi="Cambria Math"/>
          <w:sz w:val="23"/>
          <w:szCs w:val="23"/>
        </w:rPr>
        <w:t xml:space="preserve">r_LS,t = α + β_Mkt Mkt_t + β_HML HML_t + β_UMD UMD_t + β_RMW RMW_t + ε_t</w:t>
      </w:r>
    </w:p>
    <w:p>
      <w:pPr>
        <w:pStyle w:val="Heading1"/>
        <w:spacing w:after="120" w:before="320"/>
      </w:pPr>
      <w:r>
        <w:rPr>
          <w:rFonts w:ascii="Calibri" w:cs="Calibri" w:eastAsia="Calibri" w:hAnsi="Calibri"/>
          <w:b/>
          <w:bCs/>
          <w:color w:val="1F3A5F"/>
          <w:sz w:val="30"/>
          <w:szCs w:val="30"/>
        </w:rPr>
        <w:t xml:space="preserve">7. Build instructions</w:t>
      </w:r>
    </w:p>
    <w:p>
      <w:pPr>
        <w:pStyle w:val="ListParagraph"/>
        <w:numPr>
          <w:ilvl w:val="0"/>
          <w:numId w:val="4"/>
        </w:numPr>
        <w:spacing w:after="80" w:line="276"/>
      </w:pPr>
      <w:r>
        <w:rPr>
          <w:rFonts w:ascii="Calibri" w:cs="Calibri" w:eastAsia="Calibri" w:hAnsi="Calibri"/>
          <w:sz w:val="22"/>
          <w:szCs w:val="22"/>
        </w:rPr>
        <w:t xml:space="preserve">Repo layout: data/ (raw, interim, processed), src/universe.py, src/fundamentals.py, src/prices.py, src/signals.py, src/portfolio.py, src/stats.py, notebooks/, reports/.</w:t>
      </w:r>
    </w:p>
    <w:p>
      <w:pPr>
        <w:pStyle w:val="ListParagraph"/>
        <w:numPr>
          <w:ilvl w:val="0"/>
          <w:numId w:val="4"/>
        </w:numPr>
        <w:spacing w:after="80" w:line="276"/>
      </w:pPr>
      <w:r>
        <w:rPr>
          <w:rFonts w:ascii="Calibri" w:cs="Calibri" w:eastAsia="Calibri" w:hAnsi="Calibri"/>
          <w:sz w:val="22"/>
          <w:szCs w:val="22"/>
        </w:rPr>
        <w:t xml:space="preserve">Use DuckDB or polars for the SEC num.txt files; they are several GB uncompressed and pandas will hurt.</w:t>
      </w:r>
    </w:p>
    <w:p>
      <w:pPr>
        <w:pStyle w:val="ListParagraph"/>
        <w:numPr>
          <w:ilvl w:val="0"/>
          <w:numId w:val="4"/>
        </w:numPr>
        <w:spacing w:after="80" w:line="276"/>
      </w:pPr>
      <w:r>
        <w:rPr>
          <w:rFonts w:ascii="Calibri" w:cs="Calibri" w:eastAsia="Calibri" w:hAnsi="Calibri"/>
          <w:sz w:val="22"/>
          <w:szCs w:val="22"/>
        </w:rPr>
        <w:t xml:space="preserve">Store everything as parquet with an explicit as-of date column. Never overwrite a raw file.</w:t>
      </w:r>
    </w:p>
    <w:p>
      <w:pPr>
        <w:pStyle w:val="ListParagraph"/>
        <w:numPr>
          <w:ilvl w:val="0"/>
          <w:numId w:val="4"/>
        </w:numPr>
        <w:spacing w:after="80" w:line="276"/>
      </w:pPr>
      <w:r>
        <w:rPr>
          <w:rFonts w:ascii="Calibri" w:cs="Calibri" w:eastAsia="Calibri" w:hAnsi="Calibri"/>
          <w:sz w:val="22"/>
          <w:szCs w:val="22"/>
        </w:rPr>
        <w:t xml:space="preserve">Write the as-of join once, test it with a unit test that plants a filing dated after the signal date and asserts it is excluded.</w:t>
      </w:r>
    </w:p>
    <w:p>
      <w:pPr>
        <w:pStyle w:val="ListParagraph"/>
        <w:numPr>
          <w:ilvl w:val="0"/>
          <w:numId w:val="4"/>
        </w:numPr>
        <w:spacing w:after="80" w:line="276"/>
      </w:pPr>
      <w:r>
        <w:rPr>
          <w:rFonts w:ascii="Calibri" w:cs="Calibri" w:eastAsia="Calibri" w:hAnsi="Calibri"/>
          <w:sz w:val="22"/>
          <w:szCs w:val="22"/>
        </w:rPr>
        <w:t xml:space="preserve">Build one factor end to end (momentum needs no fundamentals) before touching the SEC data. Validate it against UMD first.</w:t>
      </w:r>
    </w:p>
    <w:p>
      <w:pPr>
        <w:pStyle w:val="ListParagraph"/>
        <w:numPr>
          <w:ilvl w:val="0"/>
          <w:numId w:val="4"/>
        </w:numPr>
        <w:spacing w:after="80" w:line="276"/>
      </w:pPr>
      <w:r>
        <w:rPr>
          <w:rFonts w:ascii="Calibri" w:cs="Calibri" w:eastAsia="Calibri" w:hAnsi="Calibri"/>
          <w:sz w:val="22"/>
          <w:szCs w:val="22"/>
        </w:rPr>
        <w:t xml:space="preserve">Make the backtest engine accept any signal DataFrame so projects 2 and 7 can reuse it.</w:t>
      </w:r>
    </w:p>
    <w:p>
      <w:pPr>
        <w:pStyle w:val="ListParagraph"/>
        <w:numPr>
          <w:ilvl w:val="0"/>
          <w:numId w:val="4"/>
        </w:numPr>
        <w:spacing w:after="80" w:line="276"/>
      </w:pPr>
      <w:r>
        <w:rPr>
          <w:rFonts w:ascii="Calibri" w:cs="Calibri" w:eastAsia="Calibri" w:hAnsi="Calibri"/>
          <w:sz w:val="22"/>
          <w:szCs w:val="22"/>
        </w:rPr>
        <w:t xml:space="preserve">Log every specification you run to a CSV with a timestamp so the N in the deflated Sharpe is real, not guessed.</w:t>
      </w:r>
    </w:p>
    <w:p>
      <w:pPr>
        <w:pStyle w:val="ListParagraph"/>
        <w:numPr>
          <w:ilvl w:val="0"/>
          <w:numId w:val="4"/>
        </w:numPr>
        <w:spacing w:after="80" w:line="276"/>
      </w:pPr>
      <w:r>
        <w:rPr>
          <w:rFonts w:ascii="Calibri" w:cs="Calibri" w:eastAsia="Calibri" w:hAnsi="Calibri"/>
          <w:sz w:val="22"/>
          <w:szCs w:val="22"/>
        </w:rPr>
        <w:t xml:space="preserve">Use a config file for cost, lag, rebalance frequency and weighting so the sensitivity tables are one loop, not a rewrite.</w:t>
      </w:r>
    </w:p>
    <w:p>
      <w:pPr>
        <w:pStyle w:val="Heading1"/>
        <w:spacing w:after="120" w:before="320"/>
      </w:pPr>
      <w:r>
        <w:rPr>
          <w:rFonts w:ascii="Calibri" w:cs="Calibri" w:eastAsia="Calibri" w:hAnsi="Calibri"/>
          <w:b/>
          <w:bCs/>
          <w:color w:val="1F3A5F"/>
          <w:sz w:val="30"/>
          <w:szCs w:val="30"/>
        </w:rPr>
        <w:t xml:space="preserve">8. What the results should look like</w:t>
      </w:r>
    </w:p>
    <w:p>
      <w:pPr>
        <w:spacing w:after="120" w:line="276"/>
      </w:pPr>
      <w:r>
        <w:rPr>
          <w:rFonts w:ascii="Calibri" w:cs="Calibri" w:eastAsia="Calibri" w:hAnsi="Calibri"/>
          <w:sz w:val="22"/>
          <w:szCs w:val="22"/>
        </w:rPr>
        <w:t xml:space="preserve">The README leads with one table and 4 charts. Suggested table:</w:t>
      </w:r>
    </w:p>
    <w:tbl>
      <w:tblPr>
        <w:tblW w:type="dxa" w:w="9000"/>
        <w:tblBorders>
          <w:top w:val="single" w:color="BFC7D1" w:sz="4"/>
          <w:left w:val="single" w:color="BFC7D1" w:sz="4"/>
          <w:bottom w:val="single" w:color="BFC7D1" w:sz="4"/>
          <w:right w:val="single" w:color="BFC7D1" w:sz="4"/>
          <w:insideH w:val="single" w:color="BFC7D1" w:sz="4"/>
          <w:insideV w:val="single" w:color="BFC7D1" w:sz="4"/>
        </w:tblBorders>
      </w:tblPr>
      <w:tblGrid>
        <w:gridCol w:w="1400"/>
        <w:gridCol w:w="800"/>
        <w:gridCol w:w="800"/>
        <w:gridCol w:w="600"/>
        <w:gridCol w:w="800"/>
        <w:gridCol w:w="600"/>
        <w:gridCol w:w="700"/>
        <w:gridCol w:w="900"/>
        <w:gridCol w:w="700"/>
        <w:gridCol w:w="700"/>
        <w:gridCol w:w="10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Factor</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Gross ann. return</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Net ann. return</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Vol</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Sharpe (net)</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DSR</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Max DD</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Monthly turnover</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Mean IC</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IC t-stat</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Break-even cost</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Momentum 12-1</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Value (B/P, E/P)</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Quality (GP/A, accruals)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Low vol</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Composite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bl>
    <w:p>
      <w:pPr>
        <w:spacing w:after="120"/>
      </w:pPr>
    </w:p>
    <w:p>
      <w:pPr>
        <w:pStyle w:val="ListParagraph"/>
        <w:numPr>
          <w:ilvl w:val="0"/>
          <w:numId w:val="2"/>
        </w:numPr>
        <w:spacing w:after="60" w:line="276"/>
      </w:pPr>
      <w:r>
        <w:rPr>
          <w:rFonts w:ascii="Calibri" w:cs="Calibri" w:eastAsia="Calibri" w:hAnsi="Calibri"/>
          <w:sz w:val="22"/>
          <w:szCs w:val="22"/>
        </w:rPr>
        <w:t xml:space="preserve">Chart 1: cumulative log returns of decile 1 through 10 for each factor, one panel per factor.</w:t>
      </w:r>
    </w:p>
    <w:p>
      <w:pPr>
        <w:pStyle w:val="ListParagraph"/>
        <w:numPr>
          <w:ilvl w:val="0"/>
          <w:numId w:val="2"/>
        </w:numPr>
        <w:spacing w:after="60" w:line="276"/>
      </w:pPr>
      <w:r>
        <w:rPr>
          <w:rFonts w:ascii="Calibri" w:cs="Calibri" w:eastAsia="Calibri" w:hAnsi="Calibri"/>
          <w:sz w:val="22"/>
          <w:szCs w:val="22"/>
        </w:rPr>
        <w:t xml:space="preserve">Chart 2: rolling 36-month IC with a zero line and shaded recessions.</w:t>
      </w:r>
    </w:p>
    <w:p>
      <w:pPr>
        <w:pStyle w:val="ListParagraph"/>
        <w:numPr>
          <w:ilvl w:val="0"/>
          <w:numId w:val="2"/>
        </w:numPr>
        <w:spacing w:after="60" w:line="276"/>
      </w:pPr>
      <w:r>
        <w:rPr>
          <w:rFonts w:ascii="Calibri" w:cs="Calibri" w:eastAsia="Calibri" w:hAnsi="Calibri"/>
          <w:sz w:val="22"/>
          <w:szCs w:val="22"/>
        </w:rPr>
        <w:t xml:space="preserve">Chart 3: IC decay by horizon with the fitted half-life.</w:t>
      </w:r>
    </w:p>
    <w:p>
      <w:pPr>
        <w:pStyle w:val="ListParagraph"/>
        <w:numPr>
          <w:ilvl w:val="0"/>
          <w:numId w:val="2"/>
        </w:numPr>
        <w:spacing w:after="60" w:line="276"/>
      </w:pPr>
      <w:r>
        <w:rPr>
          <w:rFonts w:ascii="Calibri" w:cs="Calibri" w:eastAsia="Calibri" w:hAnsi="Calibri"/>
          <w:sz w:val="22"/>
          <w:szCs w:val="22"/>
        </w:rPr>
        <w:t xml:space="preserve">Chart 4: net Sharpe as a function of assumed cost, one line per factor, crossing zero at the break-even.</w:t>
      </w:r>
    </w:p>
    <w:p>
      <w:pPr>
        <w:pStyle w:val="ListParagraph"/>
        <w:numPr>
          <w:ilvl w:val="0"/>
          <w:numId w:val="2"/>
        </w:numPr>
        <w:spacing w:after="60" w:line="276"/>
      </w:pPr>
      <w:r>
        <w:rPr>
          <w:rFonts w:ascii="Calibri" w:cs="Calibri" w:eastAsia="Calibri" w:hAnsi="Calibri"/>
          <w:sz w:val="22"/>
          <w:szCs w:val="22"/>
        </w:rPr>
        <w:t xml:space="preserve">Validation table: correlation of each of your long-short series with the matching French factor.</w:t>
      </w:r>
    </w:p>
    <w:p>
      <w:pPr>
        <w:pStyle w:val="Heading1"/>
        <w:spacing w:after="120" w:before="320"/>
      </w:pPr>
      <w:r>
        <w:rPr>
          <w:rFonts w:ascii="Calibri" w:cs="Calibri" w:eastAsia="Calibri" w:hAnsi="Calibri"/>
          <w:b/>
          <w:bCs/>
          <w:color w:val="1F3A5F"/>
          <w:sz w:val="30"/>
          <w:szCs w:val="30"/>
        </w:rPr>
        <w:t xml:space="preserve">9. Making it useful</w:t>
      </w:r>
    </w:p>
    <w:p>
      <w:pPr>
        <w:pStyle w:val="ListParagraph"/>
        <w:numPr>
          <w:ilvl w:val="0"/>
          <w:numId w:val="2"/>
        </w:numPr>
        <w:spacing w:after="60" w:line="276"/>
      </w:pPr>
      <w:r>
        <w:rPr>
          <w:rFonts w:ascii="Calibri" w:cs="Calibri" w:eastAsia="Calibri" w:hAnsi="Calibri"/>
          <w:sz w:val="22"/>
          <w:szCs w:val="22"/>
        </w:rPr>
        <w:t xml:space="preserve">Put the point-in-time unit test at the top of the README. It is the single strongest signal to a quant reader.</w:t>
      </w:r>
    </w:p>
    <w:p>
      <w:pPr>
        <w:pStyle w:val="ListParagraph"/>
        <w:numPr>
          <w:ilvl w:val="0"/>
          <w:numId w:val="2"/>
        </w:numPr>
        <w:spacing w:after="60" w:line="276"/>
      </w:pPr>
      <w:r>
        <w:rPr>
          <w:rFonts w:ascii="Calibri" w:cs="Calibri" w:eastAsia="Calibri" w:hAnsi="Calibri"/>
          <w:sz w:val="22"/>
          <w:szCs w:val="22"/>
        </w:rPr>
        <w:t xml:space="preserve">In interviews, lead with the break-even cost table and the DSR. Those two numbers show you think about implementation and overfitting, which is what a portfolio manager actually worries about.</w:t>
      </w:r>
    </w:p>
    <w:p>
      <w:pPr>
        <w:pStyle w:val="ListParagraph"/>
        <w:numPr>
          <w:ilvl w:val="0"/>
          <w:numId w:val="2"/>
        </w:numPr>
        <w:spacing w:after="60" w:line="276"/>
      </w:pPr>
      <w:r>
        <w:rPr>
          <w:rFonts w:ascii="Calibri" w:cs="Calibri" w:eastAsia="Calibri" w:hAnsi="Calibri"/>
          <w:sz w:val="22"/>
          <w:szCs w:val="22"/>
        </w:rPr>
        <w:t xml:space="preserve">The engine becomes the backtest layer for project 2 (regimes) and project 7 (earnings signal), so the design should make swapping in a new signal a 5-line change.</w:t>
      </w:r>
    </w:p>
    <w:p>
      <w:pPr>
        <w:pStyle w:val="ListParagraph"/>
        <w:numPr>
          <w:ilvl w:val="0"/>
          <w:numId w:val="2"/>
        </w:numPr>
        <w:spacing w:after="60" w:line="276"/>
      </w:pPr>
      <w:r>
        <w:rPr>
          <w:rFonts w:ascii="Calibri" w:cs="Calibri" w:eastAsia="Calibri" w:hAnsi="Calibri"/>
          <w:sz w:val="22"/>
          <w:szCs w:val="22"/>
        </w:rPr>
        <w:t xml:space="preserve">Write a 2-page methodology note as a PDF in reports/. Recruiters forward PDFs; they do not clone repos.</w:t>
      </w:r>
    </w:p>
    <w:p>
      <w:pPr>
        <w:pStyle w:val="Heading1"/>
        <w:spacing w:after="120" w:before="320"/>
      </w:pPr>
      <w:r>
        <w:rPr>
          <w:rFonts w:ascii="Calibri" w:cs="Calibri" w:eastAsia="Calibri" w:hAnsi="Calibri"/>
          <w:b/>
          <w:bCs/>
          <w:color w:val="1F3A5F"/>
          <w:sz w:val="30"/>
          <w:szCs w:val="30"/>
        </w:rPr>
        <w:t xml:space="preserve">10. Where it will break</w:t>
      </w:r>
    </w:p>
    <w:p>
      <w:pPr>
        <w:pStyle w:val="ListParagraph"/>
        <w:numPr>
          <w:ilvl w:val="0"/>
          <w:numId w:val="2"/>
        </w:numPr>
        <w:spacing w:after="60" w:line="276"/>
      </w:pPr>
      <w:r>
        <w:rPr>
          <w:rFonts w:ascii="Calibri" w:cs="Calibri" w:eastAsia="Calibri" w:hAnsi="Calibri"/>
          <w:sz w:val="22"/>
          <w:szCs w:val="22"/>
        </w:rPr>
        <w:t xml:space="preserve">Delisted names: free price data misses many. Report the gap as a percentage of universe-months and show results with and without the affected periods.</w:t>
      </w:r>
    </w:p>
    <w:p>
      <w:pPr>
        <w:pStyle w:val="ListParagraph"/>
        <w:numPr>
          <w:ilvl w:val="0"/>
          <w:numId w:val="2"/>
        </w:numPr>
        <w:spacing w:after="60" w:line="276"/>
      </w:pPr>
      <w:r>
        <w:rPr>
          <w:rFonts w:ascii="Calibri" w:cs="Calibri" w:eastAsia="Calibri" w:hAnsi="Calibri"/>
          <w:sz w:val="22"/>
          <w:szCs w:val="22"/>
        </w:rPr>
        <w:t xml:space="preserve">Restatements: the SEC dataset includes amended filings. Keep the first-filed value, not the latest.</w:t>
      </w:r>
    </w:p>
    <w:p>
      <w:pPr>
        <w:pStyle w:val="ListParagraph"/>
        <w:numPr>
          <w:ilvl w:val="0"/>
          <w:numId w:val="2"/>
        </w:numPr>
        <w:spacing w:after="60" w:line="276"/>
      </w:pPr>
      <w:r>
        <w:rPr>
          <w:rFonts w:ascii="Calibri" w:cs="Calibri" w:eastAsia="Calibri" w:hAnsi="Calibri"/>
          <w:sz w:val="22"/>
          <w:szCs w:val="22"/>
        </w:rPr>
        <w:t xml:space="preserve">Tag inconsistency: companies report the same concept under different XBRL tags. Build a tag map for the 15 concepts you need and check coverage per year.</w:t>
      </w:r>
    </w:p>
    <w:p>
      <w:pPr>
        <w:pStyle w:val="ListParagraph"/>
        <w:numPr>
          <w:ilvl w:val="0"/>
          <w:numId w:val="2"/>
        </w:numPr>
        <w:spacing w:after="60" w:line="276"/>
      </w:pPr>
      <w:r>
        <w:rPr>
          <w:rFonts w:ascii="Calibri" w:cs="Calibri" w:eastAsia="Calibri" w:hAnsi="Calibri"/>
          <w:sz w:val="22"/>
          <w:szCs w:val="22"/>
        </w:rPr>
        <w:t xml:space="preserve">Wikipedia membership history has errors before 2010. Spot-check 20 changes against press releases.</w:t>
      </w:r>
    </w:p>
    <w:p>
      <w:pPr>
        <w:pStyle w:val="ListParagraph"/>
        <w:numPr>
          <w:ilvl w:val="0"/>
          <w:numId w:val="2"/>
        </w:numPr>
        <w:spacing w:after="60" w:line="276"/>
      </w:pPr>
      <w:r>
        <w:rPr>
          <w:rFonts w:ascii="Calibri" w:cs="Calibri" w:eastAsia="Calibri" w:hAnsi="Calibri"/>
          <w:sz w:val="22"/>
          <w:szCs w:val="22"/>
        </w:rPr>
        <w:t xml:space="preserve">Survivorship in your own head: if a factor looks bad and you tweak it until it looks good, log the tweaks.</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Utkarsh Malhotra — Factor backtester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2026-09-10T13:27:04.010Z</dcterms:created>
  <dcterms:modified xsi:type="dcterms:W3CDTF">2026-09-10T13:27:04.010Z</dcterms:modified>
</cp:coreProperties>
</file>

<file path=docProps/custom.xml><?xml version="1.0" encoding="utf-8"?>
<Properties xmlns="http://schemas.openxmlformats.org/officeDocument/2006/custom-properties" xmlns:vt="http://schemas.openxmlformats.org/officeDocument/2006/docPropsVTypes"/>
</file>