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B7280"/>
          <w:sz w:val="20"/>
          <w:szCs w:val="20"/>
        </w:rPr>
        <w:t xml:space="preserve">Quant project 8 of 10</w:t>
      </w:r>
    </w:p>
    <w:p>
      <w:pPr>
        <w:spacing w:after="80"/>
      </w:pPr>
      <w:r>
        <w:rPr>
          <w:rFonts w:ascii="Calibri" w:cs="Calibri" w:eastAsia="Calibri" w:hAnsi="Calibri"/>
          <w:b/>
          <w:bCs/>
          <w:color w:val="1F3A5F"/>
          <w:sz w:val="44"/>
          <w:szCs w:val="44"/>
        </w:rPr>
        <w:t xml:space="preserve">Yield Curve Modelling and a G7 Carry Strategy</w:t>
      </w:r>
    </w:p>
    <w:p>
      <w:pPr>
        <w:pBdr>
          <w:bottom w:val="single" w:color="1F3A5F" w:sz="8" w:space="6"/>
        </w:pBdr>
        <w:spacing w:after="200"/>
      </w:pPr>
      <w:r>
        <w:rPr>
          <w:rFonts w:ascii="Calibri" w:cs="Calibri" w:eastAsia="Calibri" w:hAnsi="Calibri"/>
          <w:i/>
          <w:iCs/>
          <w:color w:val="6B7280"/>
          <w:sz w:val="24"/>
          <w:szCs w:val="24"/>
        </w:rPr>
        <w:t xml:space="preserve">Nelson-Siegel, PCA and duration-neutral FX-hedged carry across sovereign curves</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1300"/>
        <w:gridCol w:w="1400"/>
        <w:gridCol w:w="3300"/>
        <w:gridCol w:w="2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Data cost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Build time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Target roles</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Feeds into</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6 (if FI roles stay live)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3 weeks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Systematic fixed income, multi-asset, rates research</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Uses 1's backtest layer</w:t>
            </w:r>
          </w:p>
        </w:tc>
      </w:tr>
    </w:tbl>
    <w:p>
      <w:pPr>
        <w:spacing w:after="120"/>
      </w:pPr>
    </w:p>
    <w:p>
      <w:pPr>
        <w:pStyle w:val="Heading1"/>
        <w:spacing w:after="120" w:before="320"/>
      </w:pPr>
      <w:r>
        <w:rPr>
          <w:rFonts w:ascii="Calibri" w:cs="Calibri" w:eastAsia="Calibri" w:hAnsi="Calibri"/>
          <w:b/>
          <w:bCs/>
          <w:color w:val="1F3A5F"/>
          <w:sz w:val="30"/>
          <w:szCs w:val="30"/>
        </w:rPr>
        <w:t xml:space="preserve">1. What this project is</w:t>
      </w:r>
    </w:p>
    <w:p>
      <w:pPr>
        <w:spacing w:after="120" w:line="276"/>
      </w:pPr>
      <w:r>
        <w:rPr>
          <w:rFonts w:ascii="Calibri" w:cs="Calibri" w:eastAsia="Calibri" w:hAnsi="Calibri"/>
          <w:sz w:val="22"/>
          <w:szCs w:val="22"/>
        </w:rPr>
        <w:t xml:space="preserve">A government bond project across G7 curves: fit the Nelson-Siegel and Svensson models to each curve monthly, decompose curve moves with PCA, build carry and rolldown measures per country and maturity, and test a duration-neutral, FX-hedged cross-country carry strategy with a PCA-based curve overlay. It uses free central bank curve data going back to the 1990s.</w:t>
      </w:r>
    </w:p>
    <w:p>
      <w:pPr>
        <w:spacing w:after="120" w:line="276"/>
      </w:pPr>
      <w:r>
        <w:rPr>
          <w:rFonts w:ascii="Calibri" w:cs="Calibri" w:eastAsia="Calibri" w:hAnsi="Calibri"/>
          <w:sz w:val="22"/>
          <w:szCs w:val="22"/>
        </w:rPr>
        <w:t xml:space="preserve">It is outside your equity track record, which is the point: it shows you can move to a new asset class with the same discipline, and it is directly relevant to systematic fixed income roles.</w:t>
      </w:r>
    </w:p>
    <w:p>
      <w:pPr>
        <w:pStyle w:val="Heading1"/>
        <w:spacing w:after="120" w:before="320"/>
      </w:pPr>
      <w:r>
        <w:rPr>
          <w:rFonts w:ascii="Calibri" w:cs="Calibri" w:eastAsia="Calibri" w:hAnsi="Calibri"/>
          <w:b/>
          <w:bCs/>
          <w:color w:val="1F3A5F"/>
          <w:sz w:val="30"/>
          <w:szCs w:val="30"/>
        </w:rPr>
        <w:t xml:space="preserve">2. What we are trying to find</w:t>
      </w:r>
    </w:p>
    <w:p>
      <w:pPr>
        <w:pStyle w:val="ListParagraph"/>
        <w:numPr>
          <w:ilvl w:val="0"/>
          <w:numId w:val="2"/>
        </w:numPr>
        <w:spacing w:after="60" w:line="276"/>
      </w:pPr>
      <w:r>
        <w:rPr>
          <w:rFonts w:ascii="Calibri" w:cs="Calibri" w:eastAsia="Calibri" w:hAnsi="Calibri"/>
          <w:sz w:val="22"/>
          <w:szCs w:val="22"/>
        </w:rPr>
        <w:t xml:space="preserve">How much of the return on a duration-neutral carry portfolio across G7 curves is explained by carry itself, and how much by realised yield changes?</w:t>
      </w:r>
    </w:p>
    <w:p>
      <w:pPr>
        <w:pStyle w:val="ListParagraph"/>
        <w:numPr>
          <w:ilvl w:val="0"/>
          <w:numId w:val="2"/>
        </w:numPr>
        <w:spacing w:after="60" w:line="276"/>
      </w:pPr>
      <w:r>
        <w:rPr>
          <w:rFonts w:ascii="Calibri" w:cs="Calibri" w:eastAsia="Calibri" w:hAnsi="Calibri"/>
          <w:sz w:val="22"/>
          <w:szCs w:val="22"/>
        </w:rPr>
        <w:t xml:space="preserve">Are the first 3 principal components (level, slope, curvature) stable across countries and time, and how much variance do they explain?</w:t>
      </w:r>
    </w:p>
    <w:p>
      <w:pPr>
        <w:pStyle w:val="ListParagraph"/>
        <w:numPr>
          <w:ilvl w:val="0"/>
          <w:numId w:val="2"/>
        </w:numPr>
        <w:spacing w:after="60" w:line="276"/>
      </w:pPr>
      <w:r>
        <w:rPr>
          <w:rFonts w:ascii="Calibri" w:cs="Calibri" w:eastAsia="Calibri" w:hAnsi="Calibri"/>
          <w:sz w:val="22"/>
          <w:szCs w:val="22"/>
        </w:rPr>
        <w:t xml:space="preserve">Does adding a slope or curvature timing overlay based on PCA factor mean reversion improve the carry strategy?</w:t>
      </w:r>
    </w:p>
    <w:p>
      <w:pPr>
        <w:pStyle w:val="ListParagraph"/>
        <w:numPr>
          <w:ilvl w:val="0"/>
          <w:numId w:val="2"/>
        </w:numPr>
        <w:spacing w:after="60" w:line="276"/>
      </w:pPr>
      <w:r>
        <w:rPr>
          <w:rFonts w:ascii="Calibri" w:cs="Calibri" w:eastAsia="Calibri" w:hAnsi="Calibri"/>
          <w:sz w:val="22"/>
          <w:szCs w:val="22"/>
        </w:rPr>
        <w:t xml:space="preserve">What happened in 2022, and would any reasonable risk control have helped?</w:t>
      </w:r>
    </w:p>
    <w:p>
      <w:pPr>
        <w:pStyle w:val="Heading1"/>
        <w:spacing w:after="120" w:before="320"/>
      </w:pPr>
      <w:r>
        <w:rPr>
          <w:rFonts w:ascii="Calibri" w:cs="Calibri" w:eastAsia="Calibri" w:hAnsi="Calibri"/>
          <w:b/>
          <w:bCs/>
          <w:color w:val="1F3A5F"/>
          <w:sz w:val="30"/>
          <w:szCs w:val="30"/>
        </w:rPr>
        <w:t xml:space="preserve">3. The task</w:t>
      </w:r>
    </w:p>
    <w:p>
      <w:pPr>
        <w:pStyle w:val="ListParagraph"/>
        <w:numPr>
          <w:ilvl w:val="0"/>
          <w:numId w:val="3"/>
        </w:numPr>
        <w:spacing w:after="80" w:line="276"/>
      </w:pPr>
      <w:r>
        <w:rPr>
          <w:rFonts w:ascii="Calibri" w:cs="Calibri" w:eastAsia="Calibri" w:hAnsi="Calibri"/>
          <w:sz w:val="22"/>
          <w:szCs w:val="22"/>
        </w:rPr>
        <w:t xml:space="preserve">Download monthly zero or par curves: US Treasury (FRED DGS series or Treasury par curve), UK (BoE spot curve), Germany (Bundesbank Svensson parameters), Japan (MOF), Canada (Bank of Canada), France and Italy (ECB or national sources). Standardise to tenors 1, 2, 3, 5, 7, 10, 20, 30 years.</w:t>
      </w:r>
    </w:p>
    <w:p>
      <w:pPr>
        <w:pStyle w:val="ListParagraph"/>
        <w:numPr>
          <w:ilvl w:val="0"/>
          <w:numId w:val="3"/>
        </w:numPr>
        <w:spacing w:after="80" w:line="276"/>
      </w:pPr>
      <w:r>
        <w:rPr>
          <w:rFonts w:ascii="Calibri" w:cs="Calibri" w:eastAsia="Calibri" w:hAnsi="Calibri"/>
          <w:sz w:val="22"/>
          <w:szCs w:val="22"/>
        </w:rPr>
        <w:t xml:space="preserve">Fit Nelson-Siegel monthly per country; store β₀, β₁, β₂, λ. Fit Svensson as a comparison and record RMSE.</w:t>
      </w:r>
    </w:p>
    <w:p>
      <w:pPr>
        <w:pStyle w:val="ListParagraph"/>
        <w:numPr>
          <w:ilvl w:val="0"/>
          <w:numId w:val="3"/>
        </w:numPr>
        <w:spacing w:after="80" w:line="276"/>
      </w:pPr>
      <w:r>
        <w:rPr>
          <w:rFonts w:ascii="Calibri" w:cs="Calibri" w:eastAsia="Calibri" w:hAnsi="Calibri"/>
          <w:sz w:val="22"/>
          <w:szCs w:val="22"/>
        </w:rPr>
        <w:t xml:space="preserve">PCA on monthly yield changes per country; report loadings and explained variance; test loading stability across decades.</w:t>
      </w:r>
    </w:p>
    <w:p>
      <w:pPr>
        <w:pStyle w:val="ListParagraph"/>
        <w:numPr>
          <w:ilvl w:val="0"/>
          <w:numId w:val="3"/>
        </w:numPr>
        <w:spacing w:after="80" w:line="276"/>
      </w:pPr>
      <w:r>
        <w:rPr>
          <w:rFonts w:ascii="Calibri" w:cs="Calibri" w:eastAsia="Calibri" w:hAnsi="Calibri"/>
          <w:sz w:val="22"/>
          <w:szCs w:val="22"/>
        </w:rPr>
        <w:t xml:space="preserve">Compute carry and rolldown per tenor and country; compute expected return approximation and realised 1-month bond returns from the curve.</w:t>
      </w:r>
    </w:p>
    <w:p>
      <w:pPr>
        <w:pStyle w:val="ListParagraph"/>
        <w:numPr>
          <w:ilvl w:val="0"/>
          <w:numId w:val="3"/>
        </w:numPr>
        <w:spacing w:after="80" w:line="276"/>
      </w:pPr>
      <w:r>
        <w:rPr>
          <w:rFonts w:ascii="Calibri" w:cs="Calibri" w:eastAsia="Calibri" w:hAnsi="Calibri"/>
          <w:sz w:val="22"/>
          <w:szCs w:val="22"/>
        </w:rPr>
        <w:t xml:space="preserve">Strategy: each month, rank country-tenor buckets by carry-to-duration ratio; go long the top third, short the bottom third, duration-neutral, FX-hedged.</w:t>
      </w:r>
    </w:p>
    <w:p>
      <w:pPr>
        <w:pStyle w:val="ListParagraph"/>
        <w:numPr>
          <w:ilvl w:val="0"/>
          <w:numId w:val="3"/>
        </w:numPr>
        <w:spacing w:after="80" w:line="276"/>
      </w:pPr>
      <w:r>
        <w:rPr>
          <w:rFonts w:ascii="Calibri" w:cs="Calibri" w:eastAsia="Calibri" w:hAnsi="Calibri"/>
          <w:sz w:val="22"/>
          <w:szCs w:val="22"/>
        </w:rPr>
        <w:t xml:space="preserve">Overlay: when PC2 (slope) is more than 1.5 standard deviations from its rolling mean, add a steepener or flattener position sized to a fixed duration budget.</w:t>
      </w:r>
    </w:p>
    <w:p>
      <w:pPr>
        <w:pStyle w:val="ListParagraph"/>
        <w:numPr>
          <w:ilvl w:val="0"/>
          <w:numId w:val="3"/>
        </w:numPr>
        <w:spacing w:after="80" w:line="276"/>
      </w:pPr>
      <w:r>
        <w:rPr>
          <w:rFonts w:ascii="Calibri" w:cs="Calibri" w:eastAsia="Calibri" w:hAnsi="Calibri"/>
          <w:sz w:val="22"/>
          <w:szCs w:val="22"/>
        </w:rPr>
        <w:t xml:space="preserve">Report performance with a 2022 case study and a section on what carry does not tell you.</w:t>
      </w:r>
    </w:p>
    <w:p>
      <w:pPr>
        <w:pStyle w:val="Heading1"/>
        <w:spacing w:after="120" w:before="320"/>
      </w:pPr>
      <w:r>
        <w:rPr>
          <w:rFonts w:ascii="Calibri" w:cs="Calibri" w:eastAsia="Calibri" w:hAnsi="Calibri"/>
          <w:b/>
          <w:bCs/>
          <w:color w:val="1F3A5F"/>
          <w:sz w:val="30"/>
          <w:szCs w:val="30"/>
        </w:rPr>
        <w:t xml:space="preserve">4. Data</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2200"/>
        <w:gridCol w:w="3600"/>
        <w:gridCol w:w="35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US curve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DGS1 to DGS30, or Treasury daily par curve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Par yields; convert to zero via bootstrapping or use directly with a note</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UK curve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Bank of England yield curve archive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Nominal spot curve, monthly, 1979 onward; excellent</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German curve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Bundesbank Svensson parameters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Reconstruct any tenor from the parameters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Japan, Canada</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MOF JGB yields; Bank of Canada</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Benchmark yields by tenor</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France, Italy</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ECB Statistical Data Warehouse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Or use the euro AAA curve for France and Italy spreads separately</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FX and short rates for hedging</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BIS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3-month rates for the hedge return</w:t>
            </w:r>
          </w:p>
        </w:tc>
      </w:tr>
    </w:tbl>
    <w:p>
      <w:pPr>
        <w:pStyle w:val="Heading1"/>
        <w:spacing w:after="120" w:before="320"/>
      </w:pPr>
      <w:r>
        <w:rPr>
          <w:rFonts w:ascii="Calibri" w:cs="Calibri" w:eastAsia="Calibri" w:hAnsi="Calibri"/>
          <w:b/>
          <w:bCs/>
          <w:color w:val="1F3A5F"/>
          <w:sz w:val="30"/>
          <w:szCs w:val="30"/>
        </w:rPr>
        <w:t xml:space="preserve">5. What you should learn</w:t>
      </w:r>
    </w:p>
    <w:p>
      <w:pPr>
        <w:pStyle w:val="ListParagraph"/>
        <w:numPr>
          <w:ilvl w:val="0"/>
          <w:numId w:val="2"/>
        </w:numPr>
        <w:spacing w:after="60" w:line="276"/>
      </w:pPr>
      <w:r>
        <w:rPr>
          <w:rFonts w:ascii="Calibri" w:cs="Calibri" w:eastAsia="Calibri" w:hAnsi="Calibri"/>
          <w:sz w:val="22"/>
          <w:szCs w:val="22"/>
        </w:rPr>
        <w:t xml:space="preserve">Bond maths: price-yield relationship, duration, convexity, and the return approximation.</w:t>
      </w:r>
    </w:p>
    <w:p>
      <w:pPr>
        <w:pStyle w:val="ListParagraph"/>
        <w:numPr>
          <w:ilvl w:val="0"/>
          <w:numId w:val="2"/>
        </w:numPr>
        <w:spacing w:after="60" w:line="276"/>
      </w:pPr>
      <w:r>
        <w:rPr>
          <w:rFonts w:ascii="Calibri" w:cs="Calibri" w:eastAsia="Calibri" w:hAnsi="Calibri"/>
          <w:sz w:val="22"/>
          <w:szCs w:val="22"/>
        </w:rPr>
        <w:t xml:space="preserve">Zero versus par curves, bootstrapping, and the term structure factor models.</w:t>
      </w:r>
    </w:p>
    <w:p>
      <w:pPr>
        <w:pStyle w:val="ListParagraph"/>
        <w:numPr>
          <w:ilvl w:val="0"/>
          <w:numId w:val="2"/>
        </w:numPr>
        <w:spacing w:after="60" w:line="276"/>
      </w:pPr>
      <w:r>
        <w:rPr>
          <w:rFonts w:ascii="Calibri" w:cs="Calibri" w:eastAsia="Calibri" w:hAnsi="Calibri"/>
          <w:sz w:val="22"/>
          <w:szCs w:val="22"/>
        </w:rPr>
        <w:t xml:space="preserve">Nelson-Siegel and Svensson: what each parameter means, why λ is hard to estimate, and the Diebold-Li dynamic version.</w:t>
      </w:r>
    </w:p>
    <w:p>
      <w:pPr>
        <w:pStyle w:val="ListParagraph"/>
        <w:numPr>
          <w:ilvl w:val="0"/>
          <w:numId w:val="2"/>
        </w:numPr>
        <w:spacing w:after="60" w:line="276"/>
      </w:pPr>
      <w:r>
        <w:rPr>
          <w:rFonts w:ascii="Calibri" w:cs="Calibri" w:eastAsia="Calibri" w:hAnsi="Calibri"/>
          <w:sz w:val="22"/>
          <w:szCs w:val="22"/>
        </w:rPr>
        <w:t xml:space="preserve">PCA on yield changes: level, slope and curvature; why loadings are so stable; the link to duration-neutral butterflies.</w:t>
      </w:r>
    </w:p>
    <w:p>
      <w:pPr>
        <w:pStyle w:val="ListParagraph"/>
        <w:numPr>
          <w:ilvl w:val="0"/>
          <w:numId w:val="2"/>
        </w:numPr>
        <w:spacing w:after="60" w:line="276"/>
      </w:pPr>
      <w:r>
        <w:rPr>
          <w:rFonts w:ascii="Calibri" w:cs="Calibri" w:eastAsia="Calibri" w:hAnsi="Calibri"/>
          <w:sz w:val="22"/>
          <w:szCs w:val="22"/>
        </w:rPr>
        <w:t xml:space="preserve">Carry and rolldown decomposition and the expectations hypothesis.</w:t>
      </w:r>
    </w:p>
    <w:p>
      <w:pPr>
        <w:pStyle w:val="ListParagraph"/>
        <w:numPr>
          <w:ilvl w:val="0"/>
          <w:numId w:val="2"/>
        </w:numPr>
        <w:spacing w:after="60" w:line="276"/>
      </w:pPr>
      <w:r>
        <w:rPr>
          <w:rFonts w:ascii="Calibri" w:cs="Calibri" w:eastAsia="Calibri" w:hAnsi="Calibri"/>
          <w:sz w:val="22"/>
          <w:szCs w:val="22"/>
        </w:rPr>
        <w:t xml:space="preserve">FX hedging of foreign bond returns and why a hedged foreign bond is a bet on the curve, not the currency.</w:t>
      </w:r>
    </w:p>
    <w:p>
      <w:pPr>
        <w:pStyle w:val="ListParagraph"/>
        <w:numPr>
          <w:ilvl w:val="0"/>
          <w:numId w:val="2"/>
        </w:numPr>
        <w:spacing w:after="60" w:line="276"/>
      </w:pPr>
      <w:r>
        <w:rPr>
          <w:rFonts w:ascii="Calibri" w:cs="Calibri" w:eastAsia="Calibri" w:hAnsi="Calibri"/>
          <w:sz w:val="22"/>
          <w:szCs w:val="22"/>
        </w:rPr>
        <w:t xml:space="preserve">Duration-times-spread thinking and risk budgeting across countries.</w:t>
      </w:r>
    </w:p>
    <w:p>
      <w:pPr>
        <w:pStyle w:val="Heading1"/>
        <w:spacing w:after="120" w:before="320"/>
      </w:pPr>
      <w:r>
        <w:rPr>
          <w:rFonts w:ascii="Calibri" w:cs="Calibri" w:eastAsia="Calibri" w:hAnsi="Calibri"/>
          <w:b/>
          <w:bCs/>
          <w:color w:val="1F3A5F"/>
          <w:sz w:val="30"/>
          <w:szCs w:val="30"/>
        </w:rPr>
        <w:t xml:space="preserve">6. Methods and the maths</w:t>
      </w:r>
    </w:p>
    <w:p>
      <w:pPr>
        <w:pStyle w:val="Heading2"/>
        <w:spacing w:after="80" w:before="220"/>
      </w:pPr>
      <w:r>
        <w:rPr>
          <w:rFonts w:ascii="Calibri" w:cs="Calibri" w:eastAsia="Calibri" w:hAnsi="Calibri"/>
          <w:b/>
          <w:bCs/>
          <w:color w:val="1F3A5F"/>
          <w:sz w:val="24"/>
          <w:szCs w:val="24"/>
        </w:rPr>
        <w:t xml:space="preserve">6.1 Nelson-Siegel</w:t>
      </w:r>
    </w:p>
    <w:p>
      <w:pPr>
        <w:spacing w:after="40" w:before="100" w:line="320"/>
        <w:ind w:left="720"/>
      </w:pPr>
      <w:r>
        <w:rPr>
          <w:rFonts w:ascii="Cambria Math" w:cs="Cambria Math" w:eastAsia="Cambria Math" w:hAnsi="Cambria Math"/>
          <w:sz w:val="23"/>
          <w:szCs w:val="23"/>
        </w:rPr>
        <w:t xml:space="preserve">y(τ) = β₀ + β₁ (1 − e^{−λτ}) / (λτ) + β₂ [ (1 − e^{−λτ}) / (λτ) − e^{−λτ} ]</w:t>
      </w:r>
    </w:p>
    <w:p>
      <w:pPr>
        <w:spacing w:after="160" w:before="40" w:line="260"/>
        <w:ind w:left="720"/>
      </w:pPr>
      <w:r>
        <w:rPr>
          <w:rFonts w:ascii="Calibri" w:cs="Calibri" w:eastAsia="Calibri" w:hAnsi="Calibri"/>
          <w:i/>
          <w:iCs/>
          <w:color w:val="6B7280"/>
          <w:sz w:val="19"/>
          <w:szCs w:val="19"/>
        </w:rPr>
        <w:t xml:space="preserve">β₀ is the long-run level, β₁ the short-long slope, β₂ the curvature. For fixed λ the model is linear in β and fits by OLS; grid λ over [0.2, 1.5] or fix at 0.7 (Diebold-Li).</w:t>
      </w:r>
    </w:p>
    <w:p>
      <w:pPr>
        <w:spacing w:after="120" w:line="276"/>
      </w:pPr>
      <w:r>
        <w:rPr>
          <w:rFonts w:ascii="Calibri" w:cs="Calibri" w:eastAsia="Calibri" w:hAnsi="Calibri"/>
          <w:sz w:val="22"/>
          <w:szCs w:val="22"/>
        </w:rPr>
        <w:t xml:space="preserve">Svensson adds a second curvature term with its own decay λ₂; it fits long-dated curves better at the cost of an identification problem when λ₁ and λ₂ are close.</w:t>
      </w:r>
    </w:p>
    <w:p>
      <w:pPr>
        <w:pStyle w:val="Heading2"/>
        <w:spacing w:after="80" w:before="220"/>
      </w:pPr>
      <w:r>
        <w:rPr>
          <w:rFonts w:ascii="Calibri" w:cs="Calibri" w:eastAsia="Calibri" w:hAnsi="Calibri"/>
          <w:b/>
          <w:bCs/>
          <w:color w:val="1F3A5F"/>
          <w:sz w:val="24"/>
          <w:szCs w:val="24"/>
        </w:rPr>
        <w:t xml:space="preserve">6.2 PCA on yield changes</w:t>
      </w:r>
    </w:p>
    <w:p>
      <w:pPr>
        <w:spacing w:after="40" w:before="100" w:line="320"/>
        <w:ind w:left="720"/>
      </w:pPr>
      <w:r>
        <w:rPr>
          <w:rFonts w:ascii="Cambria Math" w:cs="Cambria Math" w:eastAsia="Cambria Math" w:hAnsi="Cambria Math"/>
          <w:sz w:val="23"/>
          <w:szCs w:val="23"/>
        </w:rPr>
        <w:t xml:space="preserve">Δy_t = Σ_k f_k,t v_k + e_t,   Σ_Δy = V Λ V′</w:t>
      </w:r>
    </w:p>
    <w:p>
      <w:pPr>
        <w:spacing w:after="160" w:before="40" w:line="260"/>
        <w:ind w:left="720"/>
      </w:pPr>
      <w:r>
        <w:rPr>
          <w:rFonts w:ascii="Calibri" w:cs="Calibri" w:eastAsia="Calibri" w:hAnsi="Calibri"/>
          <w:i/>
          <w:iCs/>
          <w:color w:val="6B7280"/>
          <w:sz w:val="19"/>
          <w:szCs w:val="19"/>
        </w:rPr>
        <w:t xml:space="preserve">Report the first 3 loadings v_k across tenors. Expect PC1 flat (level), PC2 monotone (slope), PC3 hump (curvature), explaining roughly 90, 7 and 2% of variance.</w:t>
      </w:r>
    </w:p>
    <w:p>
      <w:pPr>
        <w:pStyle w:val="Heading2"/>
        <w:spacing w:after="80" w:before="220"/>
      </w:pPr>
      <w:r>
        <w:rPr>
          <w:rFonts w:ascii="Calibri" w:cs="Calibri" w:eastAsia="Calibri" w:hAnsi="Calibri"/>
          <w:b/>
          <w:bCs/>
          <w:color w:val="1F3A5F"/>
          <w:sz w:val="24"/>
          <w:szCs w:val="24"/>
        </w:rPr>
        <w:t xml:space="preserve">6.3 Bond return approximation</w:t>
      </w:r>
    </w:p>
    <w:p>
      <w:pPr>
        <w:spacing w:after="40" w:before="100" w:line="320"/>
        <w:ind w:left="720"/>
      </w:pPr>
      <w:r>
        <w:rPr>
          <w:rFonts w:ascii="Cambria Math" w:cs="Cambria Math" w:eastAsia="Cambria Math" w:hAnsi="Cambria Math"/>
          <w:sz w:val="23"/>
          <w:szCs w:val="23"/>
        </w:rPr>
        <w:t xml:space="preserve">r ≈ y Δt − D Δy + ½ C (Δy)²</w:t>
      </w:r>
    </w:p>
    <w:p>
      <w:pPr>
        <w:spacing w:after="160" w:before="40" w:line="260"/>
        <w:ind w:left="720"/>
      </w:pPr>
      <w:r>
        <w:rPr>
          <w:rFonts w:ascii="Calibri" w:cs="Calibri" w:eastAsia="Calibri" w:hAnsi="Calibri"/>
          <w:i/>
          <w:iCs/>
          <w:color w:val="6B7280"/>
          <w:sz w:val="19"/>
          <w:szCs w:val="19"/>
        </w:rPr>
        <w:t xml:space="preserve">y is yield, D modified duration, C convexity. For a constant-maturity position, Δy includes the rolldown along the curve.</w:t>
      </w:r>
    </w:p>
    <w:p>
      <w:pPr>
        <w:pStyle w:val="Heading2"/>
        <w:spacing w:after="80" w:before="220"/>
      </w:pPr>
      <w:r>
        <w:rPr>
          <w:rFonts w:ascii="Calibri" w:cs="Calibri" w:eastAsia="Calibri" w:hAnsi="Calibri"/>
          <w:b/>
          <w:bCs/>
          <w:color w:val="1F3A5F"/>
          <w:sz w:val="24"/>
          <w:szCs w:val="24"/>
        </w:rPr>
        <w:t xml:space="preserve">6.4 Carry and rolldown</w:t>
      </w:r>
    </w:p>
    <w:p>
      <w:pPr>
        <w:spacing w:after="40" w:before="100" w:line="320"/>
        <w:ind w:left="720"/>
      </w:pPr>
      <w:r>
        <w:rPr>
          <w:rFonts w:ascii="Cambria Math" w:cs="Cambria Math" w:eastAsia="Cambria Math" w:hAnsi="Cambria Math"/>
          <w:sz w:val="23"/>
          <w:szCs w:val="23"/>
        </w:rPr>
        <w:t xml:space="preserve">Carry_n = y_n − r_short</w:t>
      </w:r>
    </w:p>
    <w:p>
      <w:pPr>
        <w:spacing w:after="160" w:before="40" w:line="260"/>
        <w:ind w:left="720"/>
      </w:pPr>
      <w:r>
        <w:rPr>
          <w:rFonts w:ascii="Calibri" w:cs="Calibri" w:eastAsia="Calibri" w:hAnsi="Calibri"/>
          <w:i/>
          <w:iCs/>
          <w:color w:val="6B7280"/>
          <w:sz w:val="19"/>
          <w:szCs w:val="19"/>
        </w:rPr>
        <w:t xml:space="preserve">The yield pickup over the funding rate for tenor n, per year.</w:t>
      </w:r>
    </w:p>
    <w:p>
      <w:pPr>
        <w:spacing w:after="40" w:before="100" w:line="320"/>
        <w:ind w:left="720"/>
      </w:pPr>
      <w:r>
        <w:rPr>
          <w:rFonts w:ascii="Cambria Math" w:cs="Cambria Math" w:eastAsia="Cambria Math" w:hAnsi="Cambria Math"/>
          <w:sz w:val="23"/>
          <w:szCs w:val="23"/>
        </w:rPr>
        <w:t xml:space="preserve">Rolldown_n = ( y_n − y_{n−Δt} ) × D_n</w:t>
      </w:r>
    </w:p>
    <w:p>
      <w:pPr>
        <w:spacing w:after="160" w:before="40" w:line="260"/>
        <w:ind w:left="720"/>
      </w:pPr>
      <w:r>
        <w:rPr>
          <w:rFonts w:ascii="Calibri" w:cs="Calibri" w:eastAsia="Calibri" w:hAnsi="Calibri"/>
          <w:i/>
          <w:iCs/>
          <w:color w:val="6B7280"/>
          <w:sz w:val="19"/>
          <w:szCs w:val="19"/>
        </w:rPr>
        <w:t xml:space="preserve">The price gain from the bond aging along an unchanged curve over horizon Δt.</w:t>
      </w:r>
    </w:p>
    <w:p>
      <w:pPr>
        <w:spacing w:after="40" w:before="100" w:line="320"/>
        <w:ind w:left="720"/>
      </w:pPr>
      <w:r>
        <w:rPr>
          <w:rFonts w:ascii="Cambria Math" w:cs="Cambria Math" w:eastAsia="Cambria Math" w:hAnsi="Cambria Math"/>
          <w:sz w:val="23"/>
          <w:szCs w:val="23"/>
        </w:rPr>
        <w:t xml:space="preserve">E[r_n] ≈ Carry_n Δt + Rolldown_n − D_n E[Δy_n]</w:t>
      </w:r>
    </w:p>
    <w:p>
      <w:pPr>
        <w:spacing w:after="160" w:before="40" w:line="260"/>
        <w:ind w:left="720"/>
      </w:pPr>
      <w:r>
        <w:rPr>
          <w:rFonts w:ascii="Calibri" w:cs="Calibri" w:eastAsia="Calibri" w:hAnsi="Calibri"/>
          <w:i/>
          <w:iCs/>
          <w:color w:val="6B7280"/>
          <w:sz w:val="19"/>
          <w:szCs w:val="19"/>
        </w:rPr>
        <w:t xml:space="preserve">The strategy bets that E[Δy] is small relative to carry plus rolldown.</w:t>
      </w:r>
    </w:p>
    <w:p>
      <w:pPr>
        <w:pStyle w:val="Heading2"/>
        <w:spacing w:after="80" w:before="220"/>
      </w:pPr>
      <w:r>
        <w:rPr>
          <w:rFonts w:ascii="Calibri" w:cs="Calibri" w:eastAsia="Calibri" w:hAnsi="Calibri"/>
          <w:b/>
          <w:bCs/>
          <w:color w:val="1F3A5F"/>
          <w:sz w:val="24"/>
          <w:szCs w:val="24"/>
        </w:rPr>
        <w:t xml:space="preserve">6.5 Duration-neutral construction</w:t>
      </w:r>
    </w:p>
    <w:p>
      <w:pPr>
        <w:spacing w:after="120" w:line="276"/>
      </w:pPr>
      <w:r>
        <w:rPr>
          <w:rFonts w:ascii="Calibri" w:cs="Calibri" w:eastAsia="Calibri" w:hAnsi="Calibri"/>
          <w:sz w:val="22"/>
          <w:szCs w:val="22"/>
        </w:rPr>
        <w:t xml:space="preserve">For each country-tenor bucket with duration D_j and signal s_j, weights w_j are set so that Σ_j w_j D_j = 0 across long and short legs and the long leg has a fixed duration budget, for example 5 years per unit of capital. Rank on carry per unit of duration:</w:t>
      </w:r>
    </w:p>
    <w:p>
      <w:pPr>
        <w:spacing w:after="160" w:before="100" w:line="320"/>
        <w:ind w:left="720"/>
      </w:pPr>
      <w:r>
        <w:rPr>
          <w:rFonts w:ascii="Cambria Math" w:cs="Cambria Math" w:eastAsia="Cambria Math" w:hAnsi="Cambria Math"/>
          <w:sz w:val="23"/>
          <w:szCs w:val="23"/>
        </w:rPr>
        <w:t xml:space="preserve">s_j = ( Carry_j + Rolldown_j ) / D_j</w:t>
      </w:r>
    </w:p>
    <w:p>
      <w:pPr>
        <w:pStyle w:val="Heading2"/>
        <w:spacing w:after="80" w:before="220"/>
      </w:pPr>
      <w:r>
        <w:rPr>
          <w:rFonts w:ascii="Calibri" w:cs="Calibri" w:eastAsia="Calibri" w:hAnsi="Calibri"/>
          <w:b/>
          <w:bCs/>
          <w:color w:val="1F3A5F"/>
          <w:sz w:val="24"/>
          <w:szCs w:val="24"/>
        </w:rPr>
        <w:t xml:space="preserve">6.6 FX-hedged foreign bond return</w:t>
      </w:r>
    </w:p>
    <w:p>
      <w:pPr>
        <w:spacing w:after="40" w:before="100" w:line="320"/>
        <w:ind w:left="720"/>
      </w:pPr>
      <w:r>
        <w:rPr>
          <w:rFonts w:ascii="Cambria Math" w:cs="Cambria Math" w:eastAsia="Cambria Math" w:hAnsi="Cambria Math"/>
          <w:sz w:val="23"/>
          <w:szCs w:val="23"/>
        </w:rPr>
        <w:t xml:space="preserve">r_hedged ≈ r_local + ( r_short,domestic − r_short,foreign )</w:t>
      </w:r>
    </w:p>
    <w:p>
      <w:pPr>
        <w:spacing w:after="160" w:before="40" w:line="260"/>
        <w:ind w:left="720"/>
      </w:pPr>
      <w:r>
        <w:rPr>
          <w:rFonts w:ascii="Calibri" w:cs="Calibri" w:eastAsia="Calibri" w:hAnsi="Calibri"/>
          <w:i/>
          <w:iCs/>
          <w:color w:val="6B7280"/>
          <w:sz w:val="19"/>
          <w:szCs w:val="19"/>
        </w:rPr>
        <w:t xml:space="preserve">Covered interest parity approximation for a rolling 1-month forward hedge. Note the deviations since 2008 (cross-currency basis) and their size.</w:t>
      </w:r>
    </w:p>
    <w:p>
      <w:pPr>
        <w:pStyle w:val="Heading2"/>
        <w:spacing w:after="80" w:before="220"/>
      </w:pPr>
      <w:r>
        <w:rPr>
          <w:rFonts w:ascii="Calibri" w:cs="Calibri" w:eastAsia="Calibri" w:hAnsi="Calibri"/>
          <w:b/>
          <w:bCs/>
          <w:color w:val="1F3A5F"/>
          <w:sz w:val="24"/>
          <w:szCs w:val="24"/>
        </w:rPr>
        <w:t xml:space="preserve">6.7 Slope overlay</w:t>
      </w:r>
    </w:p>
    <w:p>
      <w:pPr>
        <w:spacing w:after="40" w:before="100" w:line="320"/>
        <w:ind w:left="720"/>
      </w:pPr>
      <w:r>
        <w:rPr>
          <w:rFonts w:ascii="Cambria Math" w:cs="Cambria Math" w:eastAsia="Cambria Math" w:hAnsi="Cambria Math"/>
          <w:sz w:val="23"/>
          <w:szCs w:val="23"/>
        </w:rPr>
        <w:t xml:space="preserve">z_slope,t = ( f_2,t − mean_{36m} f_2 ) / std_{36m} f_2</w:t>
      </w:r>
    </w:p>
    <w:p>
      <w:pPr>
        <w:spacing w:after="160" w:before="40" w:line="260"/>
        <w:ind w:left="720"/>
      </w:pPr>
      <w:r>
        <w:rPr>
          <w:rFonts w:ascii="Calibri" w:cs="Calibri" w:eastAsia="Calibri" w:hAnsi="Calibri"/>
          <w:i/>
          <w:iCs/>
          <w:color w:val="6B7280"/>
          <w:sz w:val="19"/>
          <w:szCs w:val="19"/>
        </w:rPr>
        <w:t xml:space="preserve">Steepener when z below −1.5, flattener when above +1.5, implemented as a 2s10s duration-neutral pair per country.</w:t>
      </w:r>
    </w:p>
    <w:p>
      <w:pPr>
        <w:pStyle w:val="Heading1"/>
        <w:spacing w:after="120" w:before="320"/>
      </w:pPr>
      <w:r>
        <w:rPr>
          <w:rFonts w:ascii="Calibri" w:cs="Calibri" w:eastAsia="Calibri" w:hAnsi="Calibri"/>
          <w:b/>
          <w:bCs/>
          <w:color w:val="1F3A5F"/>
          <w:sz w:val="30"/>
          <w:szCs w:val="30"/>
        </w:rPr>
        <w:t xml:space="preserve">7. Build instructions</w:t>
      </w:r>
    </w:p>
    <w:p>
      <w:pPr>
        <w:pStyle w:val="ListParagraph"/>
        <w:numPr>
          <w:ilvl w:val="0"/>
          <w:numId w:val="4"/>
        </w:numPr>
        <w:spacing w:after="80" w:line="276"/>
      </w:pPr>
      <w:r>
        <w:rPr>
          <w:rFonts w:ascii="Calibri" w:cs="Calibri" w:eastAsia="Calibri" w:hAnsi="Calibri"/>
          <w:sz w:val="22"/>
          <w:szCs w:val="22"/>
        </w:rPr>
        <w:t xml:space="preserve">One loader per country, each returning a tidy DataFrame (date, tenor, yield). Write a test that checks tenors and units are consistent (percent versus decimal is the classic bug).</w:t>
      </w:r>
    </w:p>
    <w:p>
      <w:pPr>
        <w:pStyle w:val="ListParagraph"/>
        <w:numPr>
          <w:ilvl w:val="0"/>
          <w:numId w:val="4"/>
        </w:numPr>
        <w:spacing w:after="80" w:line="276"/>
      </w:pPr>
      <w:r>
        <w:rPr>
          <w:rFonts w:ascii="Calibri" w:cs="Calibri" w:eastAsia="Calibri" w:hAnsi="Calibri"/>
          <w:sz w:val="22"/>
          <w:szCs w:val="22"/>
        </w:rPr>
        <w:t xml:space="preserve">Nelson-Siegel fit with scipy.optimize for λ and OLS for β; store fitted parameters and RMSE by month.</w:t>
      </w:r>
    </w:p>
    <w:p>
      <w:pPr>
        <w:pStyle w:val="ListParagraph"/>
        <w:numPr>
          <w:ilvl w:val="0"/>
          <w:numId w:val="4"/>
        </w:numPr>
        <w:spacing w:after="80" w:line="276"/>
      </w:pPr>
      <w:r>
        <w:rPr>
          <w:rFonts w:ascii="Calibri" w:cs="Calibri" w:eastAsia="Calibri" w:hAnsi="Calibri"/>
          <w:sz w:val="22"/>
          <w:szCs w:val="22"/>
        </w:rPr>
        <w:t xml:space="preserve">PCA with numpy on the covariance of monthly changes, per country and pooled; sign-normalise loadings so PC1 is positive.</w:t>
      </w:r>
    </w:p>
    <w:p>
      <w:pPr>
        <w:pStyle w:val="ListParagraph"/>
        <w:numPr>
          <w:ilvl w:val="0"/>
          <w:numId w:val="4"/>
        </w:numPr>
        <w:spacing w:after="80" w:line="276"/>
      </w:pPr>
      <w:r>
        <w:rPr>
          <w:rFonts w:ascii="Calibri" w:cs="Calibri" w:eastAsia="Calibri" w:hAnsi="Calibri"/>
          <w:sz w:val="22"/>
          <w:szCs w:val="22"/>
        </w:rPr>
        <w:t xml:space="preserve">Return engine: given yields at t and t+1 for a constant-maturity bucket, compute the approximate return. Validate against a full price recomputation for a few cases.</w:t>
      </w:r>
    </w:p>
    <w:p>
      <w:pPr>
        <w:pStyle w:val="ListParagraph"/>
        <w:numPr>
          <w:ilvl w:val="0"/>
          <w:numId w:val="4"/>
        </w:numPr>
        <w:spacing w:after="80" w:line="276"/>
      </w:pPr>
      <w:r>
        <w:rPr>
          <w:rFonts w:ascii="Calibri" w:cs="Calibri" w:eastAsia="Calibri" w:hAnsi="Calibri"/>
          <w:sz w:val="22"/>
          <w:szCs w:val="22"/>
        </w:rPr>
        <w:t xml:space="preserve">Strategy engine reuses the project 1 backtest layer with a duration constraint instead of a weight constraint.</w:t>
      </w:r>
    </w:p>
    <w:p>
      <w:pPr>
        <w:pStyle w:val="ListParagraph"/>
        <w:numPr>
          <w:ilvl w:val="0"/>
          <w:numId w:val="4"/>
        </w:numPr>
        <w:spacing w:after="80" w:line="276"/>
      </w:pPr>
      <w:r>
        <w:rPr>
          <w:rFonts w:ascii="Calibri" w:cs="Calibri" w:eastAsia="Calibri" w:hAnsi="Calibri"/>
          <w:sz w:val="22"/>
          <w:szCs w:val="22"/>
        </w:rPr>
        <w:t xml:space="preserve">Keep FX hedging explicit as a separate return column so you can show hedged and unhedged.</w:t>
      </w:r>
    </w:p>
    <w:p>
      <w:pPr>
        <w:pStyle w:val="Heading1"/>
        <w:spacing w:after="120" w:before="320"/>
      </w:pPr>
      <w:r>
        <w:rPr>
          <w:rFonts w:ascii="Calibri" w:cs="Calibri" w:eastAsia="Calibri" w:hAnsi="Calibri"/>
          <w:b/>
          <w:bCs/>
          <w:color w:val="1F3A5F"/>
          <w:sz w:val="30"/>
          <w:szCs w:val="30"/>
        </w:rPr>
        <w:t xml:space="preserve">8. What the results should look like</w:t>
      </w:r>
    </w:p>
    <w:p>
      <w:pPr>
        <w:pStyle w:val="ListParagraph"/>
        <w:numPr>
          <w:ilvl w:val="0"/>
          <w:numId w:val="2"/>
        </w:numPr>
        <w:spacing w:after="60" w:line="276"/>
      </w:pPr>
      <w:r>
        <w:rPr>
          <w:rFonts w:ascii="Calibri" w:cs="Calibri" w:eastAsia="Calibri" w:hAnsi="Calibri"/>
          <w:sz w:val="22"/>
          <w:szCs w:val="22"/>
        </w:rPr>
        <w:t xml:space="preserve">Chart 1: fitted versus observed curves for 4 dates per country; RMSE by month for NS and Svensson.</w:t>
      </w:r>
    </w:p>
    <w:p>
      <w:pPr>
        <w:pStyle w:val="ListParagraph"/>
        <w:numPr>
          <w:ilvl w:val="0"/>
          <w:numId w:val="2"/>
        </w:numPr>
        <w:spacing w:after="60" w:line="276"/>
      </w:pPr>
      <w:r>
        <w:rPr>
          <w:rFonts w:ascii="Calibri" w:cs="Calibri" w:eastAsia="Calibri" w:hAnsi="Calibri"/>
          <w:sz w:val="22"/>
          <w:szCs w:val="22"/>
        </w:rPr>
        <w:t xml:space="preserve">Chart 2: PCA loadings by tenor, one line per country, overlaid; table of explained variance.</w:t>
      </w:r>
    </w:p>
    <w:p>
      <w:pPr>
        <w:pStyle w:val="ListParagraph"/>
        <w:numPr>
          <w:ilvl w:val="0"/>
          <w:numId w:val="2"/>
        </w:numPr>
        <w:spacing w:after="60" w:line="276"/>
      </w:pPr>
      <w:r>
        <w:rPr>
          <w:rFonts w:ascii="Calibri" w:cs="Calibri" w:eastAsia="Calibri" w:hAnsi="Calibri"/>
          <w:sz w:val="22"/>
          <w:szCs w:val="22"/>
        </w:rPr>
        <w:t xml:space="preserve">Chart 3: β₀, β₁, β₂ time series per country, 1995 to 2026.</w:t>
      </w:r>
    </w:p>
    <w:p>
      <w:pPr>
        <w:pStyle w:val="ListParagraph"/>
        <w:numPr>
          <w:ilvl w:val="0"/>
          <w:numId w:val="2"/>
        </w:numPr>
        <w:spacing w:after="60" w:line="276"/>
      </w:pPr>
      <w:r>
        <w:rPr>
          <w:rFonts w:ascii="Calibri" w:cs="Calibri" w:eastAsia="Calibri" w:hAnsi="Calibri"/>
          <w:sz w:val="22"/>
          <w:szCs w:val="22"/>
        </w:rPr>
        <w:t xml:space="preserve">Chart 4: carry-per-duration heat map by country and tenor over time.</w:t>
      </w:r>
    </w:p>
    <w:p>
      <w:pPr>
        <w:pStyle w:val="ListParagraph"/>
        <w:numPr>
          <w:ilvl w:val="0"/>
          <w:numId w:val="2"/>
        </w:numPr>
        <w:spacing w:after="60" w:line="276"/>
      </w:pPr>
      <w:r>
        <w:rPr>
          <w:rFonts w:ascii="Calibri" w:cs="Calibri" w:eastAsia="Calibri" w:hAnsi="Calibri"/>
          <w:sz w:val="22"/>
          <w:szCs w:val="22"/>
        </w:rPr>
        <w:t xml:space="preserve">Table: strategy metrics, carry-only, overlay-only, combined; hedged and unhedged; with the 2022 drawdown isolated.</w:t>
      </w:r>
    </w:p>
    <w:p>
      <w:pPr>
        <w:pStyle w:val="ListParagraph"/>
        <w:numPr>
          <w:ilvl w:val="0"/>
          <w:numId w:val="2"/>
        </w:numPr>
        <w:spacing w:after="60" w:line="276"/>
      </w:pPr>
      <w:r>
        <w:rPr>
          <w:rFonts w:ascii="Calibri" w:cs="Calibri" w:eastAsia="Calibri" w:hAnsi="Calibri"/>
          <w:sz w:val="22"/>
          <w:szCs w:val="22"/>
        </w:rPr>
        <w:t xml:space="preserve">Chart 5: cumulative return decomposed into carry earned versus yield-change PnL.</w:t>
      </w:r>
    </w:p>
    <w:p>
      <w:pPr>
        <w:pStyle w:val="Heading1"/>
        <w:spacing w:after="120" w:before="320"/>
      </w:pPr>
      <w:r>
        <w:rPr>
          <w:rFonts w:ascii="Calibri" w:cs="Calibri" w:eastAsia="Calibri" w:hAnsi="Calibri"/>
          <w:b/>
          <w:bCs/>
          <w:color w:val="1F3A5F"/>
          <w:sz w:val="30"/>
          <w:szCs w:val="30"/>
        </w:rPr>
        <w:t xml:space="preserve">9. Making it useful</w:t>
      </w:r>
    </w:p>
    <w:p>
      <w:pPr>
        <w:pStyle w:val="ListParagraph"/>
        <w:numPr>
          <w:ilvl w:val="0"/>
          <w:numId w:val="2"/>
        </w:numPr>
        <w:spacing w:after="60" w:line="276"/>
      </w:pPr>
      <w:r>
        <w:rPr>
          <w:rFonts w:ascii="Calibri" w:cs="Calibri" w:eastAsia="Calibri" w:hAnsi="Calibri"/>
          <w:sz w:val="22"/>
          <w:szCs w:val="22"/>
        </w:rPr>
        <w:t xml:space="preserve">The carry-versus-yield-change decomposition is the interview point: it shows whether the strategy earned its carry or was paid for taking a directional bet.</w:t>
      </w:r>
    </w:p>
    <w:p>
      <w:pPr>
        <w:pStyle w:val="ListParagraph"/>
        <w:numPr>
          <w:ilvl w:val="0"/>
          <w:numId w:val="2"/>
        </w:numPr>
        <w:spacing w:after="60" w:line="276"/>
      </w:pPr>
      <w:r>
        <w:rPr>
          <w:rFonts w:ascii="Calibri" w:cs="Calibri" w:eastAsia="Calibri" w:hAnsi="Calibri"/>
          <w:sz w:val="22"/>
          <w:szCs w:val="22"/>
        </w:rPr>
        <w:t xml:space="preserve">The curve loaders and NS fitter are useful on their own for any rates work later.</w:t>
      </w:r>
    </w:p>
    <w:p>
      <w:pPr>
        <w:pStyle w:val="ListParagraph"/>
        <w:numPr>
          <w:ilvl w:val="0"/>
          <w:numId w:val="2"/>
        </w:numPr>
        <w:spacing w:after="60" w:line="276"/>
      </w:pPr>
      <w:r>
        <w:rPr>
          <w:rFonts w:ascii="Calibri" w:cs="Calibri" w:eastAsia="Calibri" w:hAnsi="Calibri"/>
          <w:sz w:val="22"/>
          <w:szCs w:val="22"/>
        </w:rPr>
        <w:t xml:space="preserve">Frame the write-up around the systematic fixed income roles in your pipeline; use their language (DTS, curve buckets, duration budget).</w:t>
      </w:r>
    </w:p>
    <w:p>
      <w:pPr>
        <w:pStyle w:val="Heading1"/>
        <w:spacing w:after="120" w:before="320"/>
      </w:pPr>
      <w:r>
        <w:rPr>
          <w:rFonts w:ascii="Calibri" w:cs="Calibri" w:eastAsia="Calibri" w:hAnsi="Calibri"/>
          <w:b/>
          <w:bCs/>
          <w:color w:val="1F3A5F"/>
          <w:sz w:val="30"/>
          <w:szCs w:val="30"/>
        </w:rPr>
        <w:t xml:space="preserve">10. Where it will break</w:t>
      </w:r>
    </w:p>
    <w:p>
      <w:pPr>
        <w:pStyle w:val="ListParagraph"/>
        <w:numPr>
          <w:ilvl w:val="0"/>
          <w:numId w:val="2"/>
        </w:numPr>
        <w:spacing w:after="60" w:line="276"/>
      </w:pPr>
      <w:r>
        <w:rPr>
          <w:rFonts w:ascii="Calibri" w:cs="Calibri" w:eastAsia="Calibri" w:hAnsi="Calibri"/>
          <w:sz w:val="22"/>
          <w:szCs w:val="22"/>
        </w:rPr>
        <w:t xml:space="preserve">Mixing par and zero curves across countries without noticing; the 1-year error from that is small, the 30-year error is not.</w:t>
      </w:r>
    </w:p>
    <w:p>
      <w:pPr>
        <w:pStyle w:val="ListParagraph"/>
        <w:numPr>
          <w:ilvl w:val="0"/>
          <w:numId w:val="2"/>
        </w:numPr>
        <w:spacing w:after="60" w:line="276"/>
      </w:pPr>
      <w:r>
        <w:rPr>
          <w:rFonts w:ascii="Calibri" w:cs="Calibri" w:eastAsia="Calibri" w:hAnsi="Calibri"/>
          <w:sz w:val="22"/>
          <w:szCs w:val="22"/>
        </w:rPr>
        <w:t xml:space="preserve">Japan's near-zero yields make carry-per-duration ratios unstable; cap or exclude tenors under 20 bp of yield.</w:t>
      </w:r>
    </w:p>
    <w:p>
      <w:pPr>
        <w:pStyle w:val="ListParagraph"/>
        <w:numPr>
          <w:ilvl w:val="0"/>
          <w:numId w:val="2"/>
        </w:numPr>
        <w:spacing w:after="60" w:line="276"/>
      </w:pPr>
      <w:r>
        <w:rPr>
          <w:rFonts w:ascii="Calibri" w:cs="Calibri" w:eastAsia="Calibri" w:hAnsi="Calibri"/>
          <w:sz w:val="22"/>
          <w:szCs w:val="22"/>
        </w:rPr>
        <w:t xml:space="preserve">Cross-currency basis makes the hedged return approximation wrong by 20 to 50 bp in stress periods; state the size.</w:t>
      </w:r>
    </w:p>
    <w:p>
      <w:pPr>
        <w:pStyle w:val="ListParagraph"/>
        <w:numPr>
          <w:ilvl w:val="0"/>
          <w:numId w:val="2"/>
        </w:numPr>
        <w:spacing w:after="60" w:line="276"/>
      </w:pPr>
      <w:r>
        <w:rPr>
          <w:rFonts w:ascii="Calibri" w:cs="Calibri" w:eastAsia="Calibri" w:hAnsi="Calibri"/>
          <w:sz w:val="22"/>
          <w:szCs w:val="22"/>
        </w:rPr>
        <w:t xml:space="preserve">Survivorship of the strategy design: if you only report the version with the overlay because it looked better, the DSR from project 1 applies here too.</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Utkarsh Malhotra — Yield curve and carry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2026-09-10T13:31:16.139Z</dcterms:created>
  <dcterms:modified xsi:type="dcterms:W3CDTF">2026-09-10T13:31:16.139Z</dcterms:modified>
</cp:coreProperties>
</file>

<file path=docProps/custom.xml><?xml version="1.0" encoding="utf-8"?>
<Properties xmlns="http://schemas.openxmlformats.org/officeDocument/2006/custom-properties" xmlns:vt="http://schemas.openxmlformats.org/officeDocument/2006/docPropsVTypes"/>
</file>