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Лабораторная работа 1. LU-разложение и решение СЛАУ</w:t>
      </w:r>
    </w:p>
    <w:p>
      <w:r>
        <w:rPr>
          <w:b/>
          <w:sz w:val="24"/>
        </w:rPr>
        <w:t>1. Постановка задачи</w:t>
      </w:r>
    </w:p>
    <w:p>
      <w:r>
        <w:rPr>
          <w:sz w:val="22"/>
        </w:rPr>
        <w:t>Дана система линейных алгебраических уравнений Ax = b с квадратной матрицей A порядка n. Требуется построить LU-разложение матрицы (с выбором главного элемента по столбцу), затем найти решение системы, определитель матрицы и обратную матрицу.</w:t>
      </w:r>
    </w:p>
    <w:p>
      <w:pPr>
        <w:jc w:val="center"/>
      </w:pPr>
      <m:oMath>
        <m:r>
          <m:t xml:space="preserve">A</m:t>
        </m:r>
        <m:r>
          <m:rPr>
            <m:sty m:val="p"/>
          </m:rPr>
          <m:t xml:space="preserve"> </m:t>
        </m:r>
        <m:r>
          <m:t xml:space="preserve">x</m:t>
        </m:r>
        <m:r>
          <m:rPr>
            <m:sty m:val="p"/>
          </m:rPr>
          <m:t xml:space="preserve"> = </m:t>
        </m:r>
        <m:r>
          <m:t xml:space="preserve">b</m:t>
        </m:r>
      </m:oMath>
    </w:p>
    <w:p>
      <w:r>
        <w:rPr>
          <w:b/>
          <w:sz w:val="24"/>
        </w:rPr>
        <w:t>2. LU-разложение</w:t>
      </w:r>
    </w:p>
    <w:p>
      <w:r>
        <w:rPr>
          <w:sz w:val="22"/>
        </w:rPr>
        <w:t>LU-разложением квадратной матрицы A называется представление вида A = L·U, где L — нижняя треугольная матрица с единицами на главной диагонали, U — верхняя треугольная матрица. Разложение существует не для любой матрицы; для устойчивости вычислений применяется перестановка строк (выбор ведущего элемента).</w:t>
      </w:r>
    </w:p>
    <w:p>
      <w:pPr>
        <w:jc w:val="center"/>
      </w:pPr>
      <m:oMath>
        <m:r>
          <m:t xml:space="preserve">P</m:t>
        </m:r>
        <m:r>
          <m:t xml:space="preserve">A</m:t>
        </m:r>
        <m:r>
          <m:rPr>
            <m:sty m:val="p"/>
          </m:rPr>
          <m:t xml:space="preserve"> = </m:t>
        </m:r>
        <m:r>
          <m:t xml:space="preserve">L</m:t>
        </m:r>
        <m:r>
          <m:t xml:space="preserve">U</m:t>
        </m:r>
      </m:oMath>
    </w:p>
    <w:p>
      <w:r>
        <w:rPr>
          <w:sz w:val="22"/>
        </w:rPr>
        <w:t>Здесь P — матрица перестановок, фиксирующая порядок строк после перестановок при выборе главного элемента.</w:t>
      </w:r>
    </w:p>
    <w:p>
      <w:r>
        <w:rPr>
          <w:b/>
          <w:sz w:val="24"/>
        </w:rPr>
        <w:t>3. Алгоритм Гаусса с выбором главного элемента</w:t>
      </w:r>
    </w:p>
    <w:p>
      <w:r>
        <w:rPr>
          <w:sz w:val="22"/>
        </w:rPr>
        <w:t>На k-м шаге исключения в столбце k среди элементов от k-й до n-й строки находится максимальный по модулю — это главный (ведущий) элемент. Соответствующая строка переставляется на k-е место. После этого строки под главным элементом обнуляются с помощью линейных комбинаций.</w:t>
      </w:r>
    </w:p>
    <w:p>
      <w:pPr>
        <w:jc w:val="center"/>
      </w:pPr>
      <m:oMath>
        <m:sSub>
          <m:e>
            <m:r>
              <m:t xml:space="preserve">m</m:t>
            </m:r>
          </m:e>
          <m:sub>
            <m:r>
              <m:t xml:space="preserve">ik</m:t>
            </m:r>
          </m:sub>
        </m:sSub>
        <m:r>
          <m:rPr>
            <m:sty m:val="p"/>
          </m:rPr>
          <m:t xml:space="preserve"> = </m:t>
        </m:r>
        <m:f>
          <m:num>
            <m:sSub>
              <m:e>
                <m:r>
                  <m:t xml:space="preserve">a</m:t>
                </m:r>
              </m:e>
              <m:sub>
                <m:r>
                  <m:t xml:space="preserve">ik</m:t>
                </m:r>
              </m:sub>
            </m:sSub>
          </m:num>
          <m:den>
            <m:sSub>
              <m:e>
                <m:r>
                  <m:t xml:space="preserve">a</m:t>
                </m:r>
              </m:e>
              <m:sub>
                <m:r>
                  <m:t xml:space="preserve">kk</m:t>
                </m:r>
              </m:sub>
            </m:sSub>
          </m:den>
        </m:f>
        <m:r>
          <m:rPr>
            <m:sty m:val="p"/>
          </m:rPr>
          <m:t xml:space="preserve">,   </m:t>
        </m:r>
        <m:r>
          <m:t xml:space="preserve">i</m:t>
        </m:r>
        <m:r>
          <m:rPr>
            <m:sty m:val="p"/>
          </m:rPr>
          <m:t xml:space="preserve"> = </m:t>
        </m:r>
        <m:r>
          <m:t xml:space="preserve">k+1</m:t>
        </m:r>
        <m:r>
          <m:rPr>
            <m:sty m:val="p"/>
          </m:rPr>
          <m:t xml:space="preserve">, ..., </m:t>
        </m:r>
        <m:r>
          <m:t xml:space="preserve">n</m:t>
        </m:r>
      </m:oMath>
    </w:p>
    <w:p>
      <w:pPr>
        <w:jc w:val="center"/>
      </w:pPr>
      <m:oMath>
        <m:sSub>
          <m:e>
            <m:r>
              <m:t xml:space="preserve">a</m:t>
            </m:r>
          </m:e>
          <m:sub>
            <m:r>
              <m:t xml:space="preserve">ij</m:t>
            </m:r>
          </m:sub>
        </m:sSub>
        <m:sSup>
          <m:e>
            <m:r>
              <m:rPr>
                <m:sty m:val="p"/>
              </m:rPr>
              <m:t xml:space="preserve"/>
            </m:r>
          </m:e>
          <m:sup>
            <m:r>
              <m:rPr>
                <m:sty m:val="p"/>
              </m:rPr>
              <m:t xml:space="preserve">(нов)</m:t>
            </m:r>
          </m:sup>
        </m:sSup>
        <m:r>
          <m:rPr>
            <m:sty m:val="p"/>
          </m:rPr>
          <m:t xml:space="preserve"> = </m:t>
        </m:r>
        <m:sSub>
          <m:e>
            <m:r>
              <m:t xml:space="preserve">a</m:t>
            </m:r>
          </m:e>
          <m:sub>
            <m:r>
              <m:t xml:space="preserve">ij</m:t>
            </m:r>
          </m:sub>
        </m:sSub>
        <m:r>
          <m:rPr>
            <m:sty m:val="p"/>
          </m:rPr>
          <m:t xml:space="preserve"> - </m:t>
        </m:r>
        <m:sSub>
          <m:e>
            <m:r>
              <m:t xml:space="preserve">m</m:t>
            </m:r>
          </m:e>
          <m:sub>
            <m:r>
              <m:t xml:space="preserve">ik</m:t>
            </m:r>
          </m:sub>
        </m:sSub>
        <m:r>
          <m:rPr>
            <m:sty m:val="p"/>
          </m:rPr>
          <m:t xml:space="preserve"> · </m:t>
        </m:r>
        <m:sSub>
          <m:e>
            <m:r>
              <m:t xml:space="preserve">a</m:t>
            </m:r>
          </m:e>
          <m:sub>
            <m:r>
              <m:t xml:space="preserve">kj</m:t>
            </m:r>
          </m:sub>
        </m:sSub>
      </m:oMath>
    </w:p>
    <w:p>
      <w:r>
        <w:rPr>
          <w:sz w:val="22"/>
        </w:rPr>
        <w:t>Множители m_{ik} образуют поддиагональные элементы матрицы L; матрица U получается как итог исключения. На каждом шаге запоминается перестановка строк — это даёт матрицу P.</w:t>
      </w:r>
    </w:p>
    <w:p>
      <w:r>
        <w:rPr>
          <w:b/>
          <w:sz w:val="24"/>
        </w:rPr>
        <w:t>4. Решение системы</w:t>
      </w:r>
    </w:p>
    <w:p>
      <w:r>
        <w:rPr>
          <w:sz w:val="22"/>
        </w:rPr>
        <w:t>После получения PA = LU исходная система Ax = b сводится к двум треугольным:</w:t>
      </w:r>
    </w:p>
    <w:p>
      <w:pPr>
        <w:jc w:val="center"/>
      </w:pPr>
      <m:oMath>
        <m:r>
          <m:t xml:space="preserve">L</m:t>
        </m:r>
        <m:r>
          <m:t xml:space="preserve">z</m:t>
        </m:r>
        <m:r>
          <m:rPr>
            <m:sty m:val="p"/>
          </m:rPr>
          <m:t xml:space="preserve"> = </m:t>
        </m:r>
        <m:r>
          <m:t xml:space="preserve">P</m:t>
        </m:r>
        <m:r>
          <m:t xml:space="preserve">b</m:t>
        </m:r>
      </m:oMath>
    </w:p>
    <w:p>
      <w:pPr>
        <w:jc w:val="center"/>
      </w:pPr>
      <m:oMath>
        <m:r>
          <m:t xml:space="preserve">U</m:t>
        </m:r>
        <m:r>
          <m:t xml:space="preserve">x</m:t>
        </m:r>
        <m:r>
          <m:rPr>
            <m:sty m:val="p"/>
          </m:rPr>
          <m:t xml:space="preserve"> = </m:t>
        </m:r>
        <m:r>
          <m:t xml:space="preserve">z</m:t>
        </m:r>
      </m:oMath>
    </w:p>
    <w:p>
      <w:r>
        <w:rPr>
          <w:sz w:val="22"/>
        </w:rPr>
        <w:t>Прямой ход (для нижней треугольной L с единицами на диагонали):</w:t>
      </w:r>
    </w:p>
    <w:p>
      <w:pPr>
        <w:jc w:val="center"/>
      </w:pPr>
      <m:oMath>
        <m:sSub>
          <m:e>
            <m:r>
              <m:t xml:space="preserve">z</m:t>
            </m:r>
          </m:e>
          <m:sub>
            <m:r>
              <m:t xml:space="preserve">i</m:t>
            </m:r>
          </m:sub>
        </m:sSub>
        <m:r>
          <m:rPr>
            <m:sty m:val="p"/>
          </m:rPr>
          <m:t xml:space="preserve"> = </m:t>
        </m:r>
        <m:sSub>
          <m:e>
            <m:d>
              <m:dPr>
                <m:begChr m:val="("/>
                <m:endChr m:val=")"/>
              </m:dPr>
              <m:e>
                <m:r>
                  <m:t xml:space="preserve">Pb</m:t>
                </m:r>
              </m:e>
            </m:d>
          </m:e>
          <m:sub>
            <m:r>
              <m:t xml:space="preserve">i</m:t>
            </m:r>
          </m:sub>
        </m:sSub>
        <m:r>
          <m:rPr>
            <m:sty m:val="p"/>
          </m:rPr>
          <m:t xml:space="preserve"> - </m:t>
        </m:r>
        <m:nary>
          <m:naryPr>
            <m:chr m:val="∑"/>
            <m:limLoc m:val="undOvr"/>
          </m:naryPr>
          <m:sub>
            <m:r>
              <m:t xml:space="preserve">j</m:t>
            </m:r>
            <m:r>
              <m:rPr>
                <m:sty m:val="p"/>
              </m:rPr>
              <m:t xml:space="preserve">=1</m:t>
            </m:r>
          </m:sub>
          <m:sup>
            <m:r>
              <m:t xml:space="preserve">i</m:t>
            </m:r>
            <m:r>
              <m:rPr>
                <m:sty m:val="p"/>
              </m:rPr>
              <m:t xml:space="preserve">-1</m:t>
            </m:r>
          </m:sup>
          <m:e>
            <m:sSub>
              <m:e>
                <m:r>
                  <m:t xml:space="preserve">l</m:t>
                </m:r>
              </m:e>
              <m:sub>
                <m:r>
                  <m:t xml:space="preserve">ij</m:t>
                </m:r>
              </m:sub>
            </m:sSub>
            <m:sSub>
              <m:e>
                <m:r>
                  <m:t xml:space="preserve">z</m:t>
                </m:r>
              </m:e>
              <m:sub>
                <m:r>
                  <m:t xml:space="preserve">j</m:t>
                </m:r>
              </m:sub>
            </m:sSub>
          </m:e>
        </m:nary>
      </m:oMath>
    </w:p>
    <w:p>
      <w:r>
        <w:rPr>
          <w:sz w:val="22"/>
        </w:rPr>
        <w:t>Обратный ход (для верхней треугольной U):</w:t>
      </w:r>
    </w:p>
    <w:p>
      <w:pPr>
        <w:jc w:val="center"/>
      </w:pPr>
      <m:oMath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rPr>
            <m:sty m:val="p"/>
          </m:rPr>
          <m:t xml:space="preserve"> = </m:t>
        </m:r>
        <m:f>
          <m:num>
            <m:sSub>
              <m:e>
                <m:r>
                  <m:t xml:space="preserve">z</m:t>
                </m:r>
              </m:e>
              <m:sub>
                <m:r>
                  <m:t xml:space="preserve">i</m:t>
                </m:r>
              </m:sub>
            </m:sSub>
            <m:r>
              <m:rPr>
                <m:sty m:val="p"/>
              </m:rPr>
              <m:t xml:space="preserve"> - </m:t>
            </m:r>
            <m:nary>
              <m:naryPr>
                <m:chr m:val="∑"/>
                <m:limLoc m:val="undOvr"/>
              </m:naryPr>
              <m:sub>
                <m:r>
                  <m:t xml:space="preserve">j</m:t>
                </m:r>
                <m:r>
                  <m:rPr>
                    <m:sty m:val="p"/>
                  </m:rPr>
                  <m:t xml:space="preserve">=i+1</m:t>
                </m:r>
              </m:sub>
              <m:sup>
                <m:r>
                  <m:t xml:space="preserve">n</m:t>
                </m:r>
              </m:sup>
              <m:e>
                <m:sSub>
                  <m:e>
                    <m:r>
                      <m:t xml:space="preserve">u</m:t>
                    </m:r>
                  </m:e>
                  <m:sub>
                    <m:r>
                      <m:t xml:space="preserve">ij</m:t>
                    </m:r>
                  </m:sub>
                </m:sSub>
                <m:sSub>
                  <m:e>
                    <m:r>
                      <m:t xml:space="preserve">x</m:t>
                    </m:r>
                  </m:e>
                  <m:sub>
                    <m:r>
                      <m:t xml:space="preserve">j</m:t>
                    </m:r>
                  </m:sub>
                </m:sSub>
              </m:e>
            </m:nary>
          </m:num>
          <m:den>
            <m:sSub>
              <m:e>
                <m:r>
                  <m:t xml:space="preserve">u</m:t>
                </m:r>
              </m:e>
              <m:sub>
                <m:r>
                  <m:t xml:space="preserve">ii</m:t>
                </m:r>
              </m:sub>
            </m:sSub>
          </m:den>
        </m:f>
      </m:oMath>
    </w:p>
    <w:p>
      <w:r>
        <w:rPr>
          <w:b/>
          <w:sz w:val="24"/>
        </w:rPr>
        <w:t>5. Определитель и обратная матрица</w:t>
      </w:r>
    </w:p>
    <w:p>
      <w:r>
        <w:rPr>
          <w:sz w:val="22"/>
        </w:rPr>
        <w:t>Определитель матрицы A с точностью до знака равен произведению диагональных элементов матрицы U. Знак определяется чётностью числа перестановок строк s, выполненных в процессе разложения.</w:t>
      </w:r>
    </w:p>
    <w:p>
      <w:pPr>
        <w:jc w:val="center"/>
      </w:pPr>
      <m:oMath>
        <m:r>
          <m:rPr>
            <m:sty m:val="p"/>
          </m:rPr>
          <m:t xml:space="preserve">det</m:t>
        </m:r>
        <m:r>
          <m:rPr>
            <m:sty m:val="p"/>
          </m:rPr>
          <m:t xml:space="preserve"> </m:t>
        </m:r>
        <m:r>
          <m:t xml:space="preserve">A</m:t>
        </m:r>
        <m:r>
          <m:rPr>
            <m:sty m:val="p"/>
          </m:rPr>
          <m:t xml:space="preserve"> = </m:t>
        </m:r>
        <m:sSup>
          <m:e>
            <m:r>
              <m:rPr>
                <m:sty m:val="p"/>
              </m:rPr>
              <m:t xml:space="preserve">(-1)</m:t>
            </m:r>
          </m:e>
          <m:sup>
            <m:r>
              <m:t xml:space="preserve">s</m:t>
            </m:r>
          </m:sup>
        </m:sSup>
        <m:r>
          <m:rPr>
            <m:sty m:val="p"/>
          </m:rPr>
          <m:t xml:space="preserve"> · </m:t>
        </m:r>
        <m:nary>
          <m:naryPr>
            <m:chr m:val="∏"/>
            <m:limLoc m:val="undOvr"/>
          </m:naryPr>
          <m:sub>
            <m:r>
              <m:t xml:space="preserve">i</m:t>
            </m:r>
            <m:r>
              <m:rPr>
                <m:sty m:val="p"/>
              </m:rPr>
              <m:t xml:space="preserve">=1</m:t>
            </m:r>
          </m:sub>
          <m:sup>
            <m:r>
              <m:t xml:space="preserve">n</m:t>
            </m:r>
          </m:sup>
          <m:e>
            <m:sSub>
              <m:e>
                <m:r>
                  <m:t xml:space="preserve">u</m:t>
                </m:r>
              </m:e>
              <m:sub>
                <m:r>
                  <m:t xml:space="preserve">ii</m:t>
                </m:r>
              </m:sub>
            </m:sSub>
          </m:e>
        </m:nary>
      </m:oMath>
    </w:p>
    <w:p>
      <w:r>
        <w:rPr>
          <w:sz w:val="22"/>
        </w:rPr>
        <w:t>Обратная матрица A⁻¹ строится по столбцам: i-й столбец равен решению системы Ax = e_i, где e_i — i-й столбец единичной матрицы. Так как разложение уже построено, n систем решаются прямым и обратным ходом за O(n²) операций каждая, что даёт суммарно O(n³).</w:t>
      </w:r>
    </w:p>
    <w:p>
      <w:r>
        <w:rPr>
          <w:b/>
          <w:sz w:val="24"/>
        </w:rPr>
        <w:t>6. Сложность</w:t>
      </w:r>
    </w:p>
    <w:p>
      <w:r>
        <w:rPr>
          <w:sz w:val="22"/>
        </w:rPr>
        <w:t>LU-разложение требует ≈ (2/3)·n³ арифметических операций. Каждая система с готовым разложением решается за O(n²). Это делает метод выгодным, когда требуется решать несколько систем с одной и той же матрицей и разными правыми частями (как при поиске A⁻¹).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