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4. Метод вращений Якоби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симметричная вещественная матрица A порядка n. Требуется найти все её собственные значения и собственные векторы методом вращений Якоби с заданной точностью ε.</w:t>
      </w:r>
    </w:p>
    <w:p>
      <w:pPr>
        <w:jc w:val="center"/>
      </w:pPr>
      <m:oMath>
        <m:r>
          <m:t xml:space="preserve">A</m:t>
        </m:r>
        <m:r>
          <m:t xml:space="preserve">v</m:t>
        </m:r>
        <m:r>
          <m:rPr>
            <m:sty m:val="p"/>
          </m:rPr>
          <m:t xml:space="preserve"> = </m:t>
        </m:r>
        <m:r>
          <m:t xml:space="preserve">λ</m:t>
        </m:r>
        <m:r>
          <m:t xml:space="preserve">v</m:t>
        </m:r>
      </m:oMath>
    </w:p>
    <w:p>
      <w:r>
        <w:rPr>
          <w:b/>
          <w:sz w:val="24"/>
        </w:rPr>
        <w:t>2. Идея метода</w:t>
      </w:r>
    </w:p>
    <w:p>
      <w:r>
        <w:rPr>
          <w:sz w:val="22"/>
        </w:rPr>
        <w:t>Симметричную матрицу можно привести к диагональному виду ортогональным преобразованием. Метод Якоби строит последовательность ортогональных подобий, последовательно обнуляя наибольший по модулю внедиагональный элемент. На диагонали предельной матрицы стоят собственные значения A; столбцы произведения матриц вращения — соответствующие собственные векторы.</w:t>
      </w:r>
    </w:p>
    <w:p>
      <w:pPr>
        <w:jc w:val="center"/>
      </w:pPr>
      <m:oMath>
        <m:sSup>
          <m:e>
            <m:r>
              <m:t xml:space="preserve">A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k+1</m:t>
            </m:r>
            <m:r>
              <m:rPr>
                <m:sty m:val="p"/>
              </m:rPr>
              <m:t xml:space="preserve">)</m:t>
            </m:r>
          </m:sup>
        </m:sSup>
        <m:r>
          <m:rPr>
            <m:sty m:val="p"/>
          </m:rPr>
          <m:t xml:space="preserve"> = </m:t>
        </m:r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T</m:t>
            </m:r>
          </m:sup>
        </m:sSup>
        <m:sSup>
          <m:e>
            <m:r>
              <m:t xml:space="preserve">A</m:t>
            </m:r>
          </m:e>
          <m:sup>
            <m:r>
              <m:rPr>
                <m:sty m:val="p"/>
              </m:rPr>
              <m:t xml:space="preserve">(</m:t>
            </m:r>
            <m:r>
              <m:t xml:space="preserve">k</m:t>
            </m:r>
            <m:r>
              <m:rPr>
                <m:sty m:val="p"/>
              </m:rPr>
              <m:t xml:space="preserve">)</m:t>
            </m:r>
          </m:sup>
        </m:sSup>
        <m:r>
          <m:t xml:space="preserve">U</m:t>
        </m:r>
      </m:oMath>
    </w:p>
    <w:p>
      <w:r>
        <w:rPr>
          <w:b/>
          <w:sz w:val="24"/>
        </w:rPr>
        <w:t>3. Матрица вращения и угол</w:t>
      </w:r>
    </w:p>
    <w:p>
      <w:r>
        <w:rPr>
          <w:sz w:val="22"/>
        </w:rPr>
        <w:t>На очередном шаге выбирают пару (i, j), i &lt; j, для которой |a_{ij}| максимален среди внедиагональных элементов. Матрица вращения U совпадает с единичной всюду, кроме блока 2×2:</w:t>
      </w:r>
    </w:p>
    <w:p>
      <w:pPr>
        <w:jc w:val="center"/>
      </w:pPr>
      <m:oMath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ii</m:t>
                      </m:r>
                    </m:sub>
                  </m:sSub>
                </m:e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ij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ji</m:t>
                      </m:r>
                    </m:sub>
                  </m:sSub>
                </m:e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jj</m:t>
                      </m:r>
                    </m:sub>
                  </m:sSub>
                </m:e>
              </m:mr>
            </m:m>
          </m:e>
        </m:d>
        <m:r>
          <m:rPr>
            <m:sty m:val="p"/>
          </m:rPr>
          <m:t xml:space="preserve"> = </m:t>
        </m:r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 xml:space="preserve">cos</m:t>
                  </m:r>
                  <m:r>
                    <m:rPr>
                      <m:sty m:val="p"/>
                    </m:rPr>
                    <m:t xml:space="preserve"> </m:t>
                  </m:r>
                  <m:r>
                    <m:t xml:space="preserve">φ</m:t>
                  </m:r>
                </m:e>
                <m:e>
                  <m:r>
                    <m:rPr>
                      <m:sty m:val="p"/>
                    </m:rPr>
                    <m:t xml:space="preserve">-</m:t>
                  </m:r>
                  <m:r>
                    <m:rPr>
                      <m:sty m:val="p"/>
                    </m:rPr>
                    <m:t xml:space="preserve">sin</m:t>
                  </m:r>
                  <m:r>
                    <m:rPr>
                      <m:sty m:val="p"/>
                    </m:rPr>
                    <m:t xml:space="preserve"> </m:t>
                  </m:r>
                  <m:r>
                    <m:t xml:space="preserve">φ</m:t>
                  </m:r>
                </m:e>
              </m:mr>
              <m:mr>
                <m:e>
                  <m:r>
                    <m:rPr>
                      <m:sty m:val="p"/>
                    </m:rPr>
                    <m:t xml:space="preserve">sin</m:t>
                  </m:r>
                  <m:r>
                    <m:rPr>
                      <m:sty m:val="p"/>
                    </m:rPr>
                    <m:t xml:space="preserve"> </m:t>
                  </m:r>
                  <m:r>
                    <m:t xml:space="preserve">φ</m:t>
                  </m:r>
                </m:e>
                <m:e>
                  <m:r>
                    <m:rPr>
                      <m:sty m:val="p"/>
                    </m:rPr>
                    <m:t xml:space="preserve">cos</m:t>
                  </m:r>
                  <m:r>
                    <m:rPr>
                      <m:sty m:val="p"/>
                    </m:rPr>
                    <m:t xml:space="preserve"> </m:t>
                  </m:r>
                  <m:r>
                    <m:t xml:space="preserve">φ</m:t>
                  </m:r>
                </m:e>
              </m:mr>
            </m:m>
          </m:e>
        </m:d>
      </m:oMath>
    </w:p>
    <w:p>
      <w:r>
        <w:rPr>
          <w:sz w:val="22"/>
        </w:rPr>
        <w:t>Угол поворота φ выбирают так, чтобы a_{ij}^{(k+1)} = 0:</w:t>
      </w:r>
    </w:p>
    <w:p>
      <w:pPr>
        <w:jc w:val="center"/>
      </w:pPr>
      <m:oMath>
        <m:r>
          <m:rPr>
            <m:sty m:val="p"/>
          </m:rPr>
          <m:t xml:space="preserve">tg</m:t>
        </m:r>
        <m:r>
          <m:rPr>
            <m:sty m:val="p"/>
          </m:rPr>
          <m:t xml:space="preserve"> </m:t>
        </m:r>
        <m:r>
          <m:t xml:space="preserve">2φ</m:t>
        </m:r>
        <m:r>
          <m:rPr>
            <m:sty m:val="p"/>
          </m:rPr>
          <m:t xml:space="preserve"> = </m:t>
        </m:r>
        <m:f>
          <m:num>
            <m:r>
              <m:t xml:space="preserve">2</m:t>
            </m:r>
            <m:r>
              <m:rPr>
                <m:sty m:val="p"/>
              </m:rPr>
              <m:t xml:space="preserve"> </m:t>
            </m:r>
            <m:sSub>
              <m:e>
                <m:r>
                  <m:t xml:space="preserve">a</m:t>
                </m:r>
              </m:e>
              <m:sub>
                <m:r>
                  <m:t xml:space="preserve">ij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t xml:space="preserve">ii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a</m:t>
                </m:r>
              </m:e>
              <m:sub>
                <m:r>
                  <m:t xml:space="preserve">jj</m:t>
                </m:r>
              </m:sub>
            </m:sSub>
          </m:den>
        </m:f>
      </m:oMath>
    </w:p>
    <w:p>
      <w:r>
        <w:rPr>
          <w:sz w:val="22"/>
        </w:rPr>
        <w:t>Если a_{ii} = a_{jj}, угол берут φ = π/4. Для устойчивости вычисляют sin φ и cos φ напрямую через половинные углы:</w:t>
      </w:r>
    </w:p>
    <w:p>
      <w:pPr>
        <w:jc w:val="center"/>
      </w:pPr>
      <m:oMath>
        <m:r>
          <m:rPr>
            <m:sty m:val="p"/>
          </m:rPr>
          <m:t xml:space="preserve">ctg</m:t>
        </m:r>
        <m:r>
          <m:rPr>
            <m:sty m:val="p"/>
          </m:rPr>
          <m:t xml:space="preserve"> </m:t>
        </m:r>
        <m:r>
          <m:t xml:space="preserve">2φ</m:t>
        </m:r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a</m:t>
                </m:r>
              </m:e>
              <m:sub>
                <m:r>
                  <m:t xml:space="preserve">jj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a</m:t>
                </m:r>
              </m:e>
              <m:sub>
                <m:r>
                  <m:t xml:space="preserve">ii</m:t>
                </m:r>
              </m:sub>
            </m:sSub>
          </m:num>
          <m:den>
            <m:r>
              <m:t xml:space="preserve">2</m:t>
            </m:r>
            <m:r>
              <m:rPr>
                <m:sty m:val="p"/>
              </m:rPr>
              <m:t xml:space="preserve"> </m:t>
            </m:r>
            <m:sSub>
              <m:e>
                <m:r>
                  <m:t xml:space="preserve">a</m:t>
                </m:r>
              </m:e>
              <m:sub>
                <m:r>
                  <m:t xml:space="preserve">ij</m:t>
                </m:r>
              </m:sub>
            </m:sSub>
          </m:den>
        </m:f>
      </m:oMath>
    </w:p>
    <w:p>
      <w:r>
        <w:rPr>
          <w:b/>
          <w:sz w:val="24"/>
        </w:rPr>
        <w:t>4. Пересчёт элементов</w:t>
      </w:r>
    </w:p>
    <w:p>
      <w:r>
        <w:rPr>
          <w:sz w:val="22"/>
        </w:rPr>
        <w:t>После умножения A → UᵀAU изменяются только строки и столбцы i и j. Элементы пересчитываются по формулам:</w:t>
      </w:r>
    </w:p>
    <w:p>
      <w:pPr>
        <w:jc w:val="center"/>
      </w:pPr>
      <m:oMath>
        <m:sSub>
          <m:e>
            <m:sSup>
              <m:e>
                <m:r>
                  <m:t xml:space="preserve">a</m:t>
                </m:r>
              </m:e>
              <m:sup>
                <m:r>
                  <m:rPr>
                    <m:sty m:val="p"/>
                  </m:rPr>
                  <m:t xml:space="preserve">′</m:t>
                </m:r>
              </m:sup>
            </m:sSup>
          </m:e>
          <m:sub>
            <m:r>
              <m:t xml:space="preserve">ii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φ</m:t>
        </m:r>
        <m:r>
          <m:rPr>
            <m:sty m:val="p"/>
          </m:rPr>
          <m:t xml:space="preserve"> </m:t>
        </m:r>
        <m:sSub>
          <m:e>
            <m:r>
              <m:t xml:space="preserve">a</m:t>
            </m:r>
          </m:e>
          <m:sub>
            <m:r>
              <m:t xml:space="preserve">ii</m:t>
            </m:r>
          </m:sub>
        </m:sSub>
        <m:r>
          <m:rPr>
            <m:sty m:val="p"/>
          </m:rPr>
          <m:t xml:space="preserve"> + </m:t>
        </m:r>
        <m:r>
          <m:t xml:space="preserve">2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sin</m:t>
        </m:r>
        <m:r>
          <m:rPr>
            <m:sty m:val="p"/>
          </m:rPr>
          <m:t xml:space="preserve"> </m:t>
        </m:r>
        <m:r>
          <m:t xml:space="preserve">φ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cos</m:t>
        </m:r>
        <m:r>
          <m:rPr>
            <m:sty m:val="p"/>
          </m:rPr>
          <m:t xml:space="preserve"> </m:t>
        </m:r>
        <m:r>
          <m:t xml:space="preserve">φ</m:t>
        </m:r>
        <m:r>
          <m:rPr>
            <m:sty m:val="p"/>
          </m:rPr>
          <m:t xml:space="preserve"> </m:t>
        </m:r>
        <m:sSub>
          <m:e>
            <m:r>
              <m:t xml:space="preserve">a</m:t>
            </m:r>
          </m:e>
          <m:sub>
            <m:r>
              <m:t xml:space="preserve">ij</m:t>
            </m:r>
          </m:sub>
        </m:sSub>
        <m:r>
          <m:rPr>
            <m:sty m:val="p"/>
          </m:rPr>
          <m:t xml:space="preserve"> +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φ</m:t>
        </m:r>
        <m:r>
          <m:rPr>
            <m:sty m:val="p"/>
          </m:rPr>
          <m:t xml:space="preserve"> </m:t>
        </m:r>
        <m:sSub>
          <m:e>
            <m:r>
              <m:t xml:space="preserve">a</m:t>
            </m:r>
          </m:e>
          <m:sub>
            <m:r>
              <m:t xml:space="preserve">jj</m:t>
            </m:r>
          </m:sub>
        </m:sSub>
      </m:oMath>
    </w:p>
    <w:p>
      <w:pPr>
        <w:jc w:val="center"/>
      </w:pPr>
      <m:oMath>
        <m:sSub>
          <m:e>
            <m:sSup>
              <m:e>
                <m:r>
                  <m:t xml:space="preserve">a</m:t>
                </m:r>
              </m:e>
              <m:sup>
                <m:r>
                  <m:rPr>
                    <m:sty m:val="p"/>
                  </m:rPr>
                  <m:t xml:space="preserve">′</m:t>
                </m:r>
              </m:sup>
            </m:sSup>
          </m:e>
          <m:sub>
            <m:r>
              <m:t xml:space="preserve">jj</m:t>
            </m:r>
          </m:sub>
        </m:sSub>
        <m:r>
          <m:rPr>
            <m:sty m:val="p"/>
          </m:rPr>
          <m:t xml:space="preserve"> = </m:t>
        </m:r>
        <m:sSup>
          <m:e>
            <m:r>
              <m:rPr>
                <m:sty m:val="p"/>
              </m:rPr>
              <m:t xml:space="preserve">sin</m:t>
            </m:r>
          </m:e>
          <m:sup>
            <m:r>
              <m:t xml:space="preserve">2</m:t>
            </m:r>
          </m:sup>
        </m:sSup>
        <m:r>
          <m:t xml:space="preserve">φ</m:t>
        </m:r>
        <m:r>
          <m:rPr>
            <m:sty m:val="p"/>
          </m:rPr>
          <m:t xml:space="preserve"> </m:t>
        </m:r>
        <m:sSub>
          <m:e>
            <m:r>
              <m:t xml:space="preserve">a</m:t>
            </m:r>
          </m:e>
          <m:sub>
            <m:r>
              <m:t xml:space="preserve">ii</m:t>
            </m:r>
          </m:sub>
        </m:sSub>
        <m:r>
          <m:rPr>
            <m:sty m:val="p"/>
          </m:rPr>
          <m:t xml:space="preserve"> - </m:t>
        </m:r>
        <m:r>
          <m:t xml:space="preserve">2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sin</m:t>
        </m:r>
        <m:r>
          <m:rPr>
            <m:sty m:val="p"/>
          </m:rPr>
          <m:t xml:space="preserve"> </m:t>
        </m:r>
        <m:r>
          <m:t xml:space="preserve">φ</m:t>
        </m:r>
        <m:r>
          <m:rPr>
            <m:sty m:val="p"/>
          </m:rPr>
          <m:t xml:space="preserve"> </m:t>
        </m:r>
        <m:r>
          <m:rPr>
            <m:sty m:val="p"/>
          </m:rPr>
          <m:t xml:space="preserve">cos</m:t>
        </m:r>
        <m:r>
          <m:rPr>
            <m:sty m:val="p"/>
          </m:rPr>
          <m:t xml:space="preserve"> </m:t>
        </m:r>
        <m:r>
          <m:t xml:space="preserve">φ</m:t>
        </m:r>
        <m:r>
          <m:rPr>
            <m:sty m:val="p"/>
          </m:rPr>
          <m:t xml:space="preserve"> </m:t>
        </m:r>
        <m:sSub>
          <m:e>
            <m:r>
              <m:t xml:space="preserve">a</m:t>
            </m:r>
          </m:e>
          <m:sub>
            <m:r>
              <m:t xml:space="preserve">ij</m:t>
            </m:r>
          </m:sub>
        </m:sSub>
        <m:r>
          <m:rPr>
            <m:sty m:val="p"/>
          </m:rPr>
          <m:t xml:space="preserve"> + </m:t>
        </m:r>
        <m:sSup>
          <m:e>
            <m:r>
              <m:rPr>
                <m:sty m:val="p"/>
              </m:rPr>
              <m:t xml:space="preserve">cos</m:t>
            </m:r>
          </m:e>
          <m:sup>
            <m:r>
              <m:t xml:space="preserve">2</m:t>
            </m:r>
          </m:sup>
        </m:sSup>
        <m:r>
          <m:t xml:space="preserve">φ</m:t>
        </m:r>
        <m:r>
          <m:rPr>
            <m:sty m:val="p"/>
          </m:rPr>
          <m:t xml:space="preserve"> </m:t>
        </m:r>
        <m:sSub>
          <m:e>
            <m:r>
              <m:t xml:space="preserve">a</m:t>
            </m:r>
          </m:e>
          <m:sub>
            <m:r>
              <m:t xml:space="preserve">jj</m:t>
            </m:r>
          </m:sub>
        </m:sSub>
      </m:oMath>
    </w:p>
    <w:p>
      <w:pPr>
        <w:jc w:val="center"/>
      </w:pPr>
      <m:oMath>
        <m:sSub>
          <m:e>
            <m:sSup>
              <m:e>
                <m:r>
                  <m:t xml:space="preserve">a</m:t>
                </m:r>
              </m:e>
              <m:sup>
                <m:r>
                  <m:rPr>
                    <m:sty m:val="p"/>
                  </m:rPr>
                  <m:t xml:space="preserve">′</m:t>
                </m:r>
              </m:sup>
            </m:sSup>
          </m:e>
          <m:sub>
            <m:r>
              <m:t xml:space="preserve">ij</m:t>
            </m:r>
          </m:sub>
        </m:sSub>
        <m:r>
          <m:rPr>
            <m:sty m:val="p"/>
          </m:rPr>
          <m:t xml:space="preserve"> = </m:t>
        </m:r>
        <m:sSub>
          <m:e>
            <m:sSup>
              <m:e>
                <m:r>
                  <m:t xml:space="preserve">a</m:t>
                </m:r>
              </m:e>
              <m:sup>
                <m:r>
                  <m:rPr>
                    <m:sty m:val="p"/>
                  </m:rPr>
                  <m:t xml:space="preserve">′</m:t>
                </m:r>
              </m:sup>
            </m:sSup>
          </m:e>
          <m:sub>
            <m:r>
              <m:t xml:space="preserve">ji</m:t>
            </m:r>
          </m:sub>
        </m:sSub>
        <m:r>
          <m:rPr>
            <m:sty m:val="p"/>
          </m:rPr>
          <m:t xml:space="preserve"> = </m:t>
        </m:r>
        <m:r>
          <m:t xml:space="preserve">0</m:t>
        </m:r>
      </m:oMath>
    </w:p>
    <w:p>
      <w:r>
        <w:rPr>
          <w:b/>
          <w:sz w:val="24"/>
        </w:rPr>
        <w:t>5. Критерий остановки</w:t>
      </w:r>
    </w:p>
    <w:p>
      <w:r>
        <w:rPr>
          <w:sz w:val="22"/>
        </w:rPr>
        <w:t>Останавливают итерации, когда мера внедиагональности матрицы становится меньше ε:</w:t>
      </w:r>
    </w:p>
    <w:p>
      <w:pPr>
        <w:jc w:val="center"/>
      </w:pPr>
      <m:oMath>
        <m:r>
          <m:t xml:space="preserve">t</m:t>
        </m:r>
        <m:d>
          <m:dPr>
            <m:begChr m:val="("/>
            <m:endChr m:val=")"/>
          </m:dPr>
          <m:e>
            <m:sSup>
              <m:e>
                <m:r>
                  <m:t xml:space="preserve">A</m:t>
                </m:r>
              </m:e>
              <m:sup>
                <m:r>
                  <m:rPr>
                    <m:sty m:val="p"/>
                  </m:rPr>
                  <m:t xml:space="preserve">(</m:t>
                </m:r>
                <m:r>
                  <m:t xml:space="preserve">k</m:t>
                </m:r>
                <m:r>
                  <m:rPr>
                    <m:sty m:val="p"/>
                  </m:rPr>
                  <m:t xml:space="preserve">)</m:t>
                </m:r>
              </m:sup>
            </m:sSup>
          </m:e>
        </m:d>
        <m:r>
          <m:rPr>
            <m:sty m:val="p"/>
          </m:rPr>
          <m:t xml:space="preserve"> = </m:t>
        </m:r>
        <m:rad>
          <m:radPr>
            <m:degHide m:val="1"/>
          </m:radPr>
          <m:deg/>
          <m:e>
            <m:nary>
              <m:naryPr>
                <m:chr m:val="∑"/>
                <m:limLoc m:val="undOvr"/>
              </m:naryPr>
              <m:sub>
                <m:r>
                  <m:t xml:space="preserve">i</m:t>
                </m:r>
                <m:r>
                  <m:rPr>
                    <m:sty m:val="p"/>
                  </m:rPr>
                  <m:t xml:space="preserve">&lt;</m:t>
                </m:r>
                <m:r>
                  <m:t xml:space="preserve">j</m:t>
                </m:r>
              </m:sub>
              <m:sup>
                <m:r>
                  <m:rPr>
                    <m:sty m:val="p"/>
                  </m:rPr>
                  <m:t xml:space="preserve"/>
                </m:r>
              </m:sup>
              <m:e>
                <m:sSup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ij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 xml:space="preserve"/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(</m:t>
                        </m:r>
                        <m:r>
                          <m:t xml:space="preserve">k</m:t>
                        </m:r>
                        <m:r>
                          <m:rPr>
                            <m:sty m:val="p"/>
                          </m:rPr>
                          <m:t xml:space="preserve">)</m:t>
                        </m:r>
                      </m:sup>
                    </m:sSup>
                  </m:e>
                  <m:sup>
                    <m:r>
                      <m:t xml:space="preserve">2</m:t>
                    </m:r>
                  </m:sup>
                </m:sSup>
              </m:e>
            </m:nary>
          </m:e>
        </m:rad>
        <m:r>
          <m:rPr>
            <m:sty m:val="p"/>
          </m:rPr>
          <m:t xml:space="preserve"> &lt; </m:t>
        </m:r>
        <m:r>
          <m:t xml:space="preserve">ε</m:t>
        </m:r>
      </m:oMath>
    </w:p>
    <w:p>
      <w:r>
        <w:rPr>
          <w:sz w:val="22"/>
        </w:rPr>
        <w:t>Тогда диагональ A^(k) даёт приближённые собственные значения, а столбцы матрицы V^(k) = U^(0)·U^(1)·…·U^(k-1) — соответствующие собственные векторы.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