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RFC 001: Devbox Agent for Automated Strategy Backtesting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Summary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devbox environment where a coding agent (Claude Code or Codex) autonomously implements and backtests trading strategies given an execution plan. The agent runs in a tmux session on a provisioned VM. An orchestrator agent (out of scope for this RFC) sends the plan and collects artifacts.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Scope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Polymarket only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Done = backtest runs and produces artifacts (no live/paper trading, no deployment)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RFC covers the devbox agent only, not the orchestrator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repo (</w:t>
      </w:r>
      <w:r>
        <w:rPr>
          <w:rFonts w:eastAsia="Consolas" w:ascii="Consolas" w:cs="Consolas" w:hAnsi="Consolas"/>
          <w:sz w:val="22"/>
          <w:shd w:fill="EFF0F1"/>
        </w:rPr>
        <w:t>&lt;popeyes&gt;/devbox/</w:t>
      </w:r>
      <w:r>
        <w:rPr>
          <w:rFonts w:eastAsia="等线" w:ascii="Arial" w:cs="Arial" w:hAnsi="Arial"/>
          <w:sz w:val="22"/>
        </w:rPr>
        <w:t>) hosts all setup scripts: Ansible playbooks, Nix/Home Manager profiles, and provisioning automation</w:t>
      </w:r>
    </w:p>
    <w:p>
      <w:pPr>
        <w:spacing w:before="120" w:after="120" w:line="288" w:lineRule="auto"/>
        <w:ind w:left="453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Architecture</w:t>
      </w:r>
      <w:bookmarkEnd w:id="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┌──────────────┐    execution plan     ┌────────────────────────────┐</w:t>
              <w:br/>
              <w:t>│ Orchestrator │ ───────────────────&gt;  │ Devbox VM                  │</w:t>
              <w:br/>
              <w:t>│ (future)     │                       │                            │</w:t>
              <w:br/>
              <w:t>│              │  tmux snapshot /      │  tmux session              │</w:t>
              <w:br/>
              <w:t>│              │ &lt;── status.json ───── │    └─ coding agent         │</w:t>
              <w:br/>
              <w:t>│              │                       │         ├─ reads AGENTS.md │</w:t>
              <w:br/>
              <w:t>│              │  artifacts            │         ├─ copies template │</w:t>
              <w:br/>
              <w:t>│              │ &lt;── (on disk) ─────── │         ├─ implements      │</w:t>
              <w:br/>
              <w:t>│              │                       │         ├─ builds &amp; runs   │</w:t>
              <w:br/>
              <w:t>└──────────────┘                       │         └─ writes report   │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                   └────────────────────────────┘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Orchestrator and devbox agent run on the same node. The orchestrator checks progress via tmux snapshots (text, efficient). Artifacts are left on disk for the orchestrator to read.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Key Design Decisions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Rust-only stack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All strategy implementation and backtesting uses the trade-server library (Rust). The Python backtest code in polysharp is legacy and will be removed. Rationale: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One stack reduces maintenance burden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Rust event loop is battle-tested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Existing tooling for analyzing backtest events (JSONL output)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Production parity: same code can later run in paper/live trading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Template-driven development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agent does not build a Rust project from scratch. A starter template provides all scaffolding so the agent's work is constrained to modifying strategy logic.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template ships: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Cargo.toml</w:t>
      </w:r>
      <w:r>
        <w:rPr>
          <w:rFonts w:eastAsia="等线" w:ascii="Arial" w:cs="Arial" w:hAnsi="Arial"/>
          <w:sz w:val="22"/>
        </w:rPr>
        <w:t xml:space="preserve"> with pinned trade-server dependency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main.rs</w:t>
      </w:r>
      <w:r>
        <w:rPr>
          <w:rFonts w:eastAsia="等线" w:ascii="Arial" w:cs="Arial" w:hAnsi="Arial"/>
          <w:sz w:val="22"/>
        </w:rPr>
        <w:t xml:space="preserve"> — CLI args, data path resolution, </w:t>
      </w:r>
      <w:r>
        <w:rPr>
          <w:rFonts w:eastAsia="Consolas" w:ascii="Consolas" w:cs="Consolas" w:hAnsi="Consolas"/>
          <w:sz w:val="22"/>
          <w:shd w:fill="EFF0F1"/>
        </w:rPr>
        <w:t>BacktestConfig</w:t>
      </w:r>
      <w:r>
        <w:rPr>
          <w:rFonts w:eastAsia="等线" w:ascii="Arial" w:cs="Arial" w:hAnsi="Arial"/>
          <w:sz w:val="22"/>
        </w:rPr>
        <w:t xml:space="preserve"> construction, runner invocation, metrics output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strategy.rs</w:t>
      </w:r>
      <w:r>
        <w:rPr>
          <w:rFonts w:eastAsia="等线" w:ascii="Arial" w:cs="Arial" w:hAnsi="Arial"/>
          <w:sz w:val="22"/>
        </w:rPr>
        <w:t xml:space="preserve"> — complete </w:t>
      </w:r>
      <w:r>
        <w:rPr>
          <w:rFonts w:eastAsia="Consolas" w:ascii="Consolas" w:cs="Consolas" w:hAnsi="Consolas"/>
          <w:sz w:val="22"/>
          <w:shd w:fill="EFF0F1"/>
        </w:rPr>
        <w:t>SignalGenerator</w:t>
      </w:r>
      <w:r>
        <w:rPr>
          <w:rFonts w:eastAsia="等线" w:ascii="Arial" w:cs="Arial" w:hAnsi="Arial"/>
          <w:sz w:val="22"/>
        </w:rPr>
        <w:t xml:space="preserve"> + </w:t>
      </w:r>
      <w:r>
        <w:rPr>
          <w:rFonts w:eastAsia="Consolas" w:ascii="Consolas" w:cs="Consolas" w:hAnsi="Consolas"/>
          <w:sz w:val="22"/>
          <w:shd w:fill="EFF0F1"/>
        </w:rPr>
        <w:t>TradableSignal</w:t>
      </w:r>
      <w:r>
        <w:rPr>
          <w:rFonts w:eastAsia="等线" w:ascii="Arial" w:cs="Arial" w:hAnsi="Arial"/>
          <w:sz w:val="22"/>
        </w:rPr>
        <w:t xml:space="preserve"> impl for a trivial reference strategy (e.g., buy when mid &lt; 0.3)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justfile</w:t>
      </w:r>
      <w:r>
        <w:rPr>
          <w:rFonts w:eastAsia="等线" w:ascii="Arial" w:cs="Arial" w:hAnsi="Arial"/>
          <w:sz w:val="22"/>
        </w:rPr>
        <w:t xml:space="preserve"> or shell script for running backtests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The template is pre-built during provisioning. When copied to a new workspace, the </w:t>
      </w:r>
      <w:r>
        <w:rPr>
          <w:rFonts w:eastAsia="Consolas" w:ascii="Consolas" w:cs="Consolas" w:hAnsi="Consolas"/>
          <w:sz w:val="22"/>
          <w:shd w:fill="EFF0F1"/>
        </w:rPr>
        <w:t>target/</w:t>
      </w:r>
      <w:r>
        <w:rPr>
          <w:rFonts w:eastAsia="等线" w:ascii="Arial" w:cs="Arial" w:hAnsi="Arial"/>
          <w:sz w:val="22"/>
        </w:rPr>
        <w:t xml:space="preserve"> directory is included. Since the build happens on the same VM, there is no architecture mismatch — the agent only recompiles the strategy crate, not all dependencies.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The agent's job: modify </w:t>
      </w:r>
      <w:r>
        <w:rPr>
          <w:rFonts w:eastAsia="Consolas" w:ascii="Consolas" w:cs="Consolas" w:hAnsi="Consolas"/>
          <w:sz w:val="22"/>
          <w:shd w:fill="EFF0F1"/>
        </w:rPr>
        <w:t>generate_signal()</w:t>
      </w:r>
      <w:r>
        <w:rPr>
          <w:rFonts w:eastAsia="等线" w:ascii="Arial" w:cs="Arial" w:hAnsi="Arial"/>
          <w:sz w:val="22"/>
        </w:rPr>
        <w:t xml:space="preserve"> and the signal struct in </w:t>
      </w:r>
      <w:r>
        <w:rPr>
          <w:rFonts w:eastAsia="Consolas" w:ascii="Consolas" w:cs="Consolas" w:hAnsi="Consolas"/>
          <w:sz w:val="22"/>
          <w:shd w:fill="EFF0F1"/>
        </w:rPr>
        <w:t>strategy.rs</w:t>
      </w:r>
      <w:r>
        <w:rPr>
          <w:rFonts w:eastAsia="等线" w:ascii="Arial" w:cs="Arial" w:hAnsi="Arial"/>
          <w:sz w:val="22"/>
        </w:rPr>
        <w:t>. Everything else is scaffolding it should not need to touch.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Different templates will be created for different markets or strategy types as the platform evolves.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AGENTS.md as the contract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The coding agent is started with </w:t>
      </w:r>
      <w:r>
        <w:rPr>
          <w:rFonts w:eastAsia="Consolas" w:ascii="Consolas" w:cs="Consolas" w:hAnsi="Consolas"/>
          <w:sz w:val="22"/>
          <w:shd w:fill="EFF0F1"/>
        </w:rPr>
        <w:t>/home/devbox</w:t>
      </w:r>
      <w:r>
        <w:rPr>
          <w:rFonts w:eastAsia="等线" w:ascii="Arial" w:cs="Arial" w:hAnsi="Arial"/>
          <w:sz w:val="22"/>
        </w:rPr>
        <w:t xml:space="preserve"> as its working directory, giving it access to all checked-out repos. </w:t>
      </w:r>
      <w:r>
        <w:rPr>
          <w:rFonts w:eastAsia="Consolas" w:ascii="Consolas" w:cs="Consolas" w:hAnsi="Consolas"/>
          <w:sz w:val="22"/>
          <w:shd w:fill="EFF0F1"/>
        </w:rPr>
        <w:t>/home/devbox/AGENTS.md</w:t>
      </w:r>
      <w:r>
        <w:rPr>
          <w:rFonts w:eastAsia="等线" w:ascii="Arial" w:cs="Arial" w:hAnsi="Arial"/>
          <w:sz w:val="22"/>
        </w:rPr>
        <w:t xml:space="preserve"> is the single entry point. It is a workflow-level document — it defines: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Exact paths</w:t>
      </w:r>
      <w:r>
        <w:rPr>
          <w:rFonts w:eastAsia="等线" w:ascii="Arial" w:cs="Arial" w:hAnsi="Arial"/>
          <w:sz w:val="22"/>
        </w:rPr>
        <w:t>: data location, template location, output directory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Workflow steps</w:t>
      </w:r>
      <w:r>
        <w:rPr>
          <w:rFonts w:eastAsia="等线" w:ascii="Arial" w:cs="Arial" w:hAnsi="Arial"/>
          <w:sz w:val="22"/>
        </w:rPr>
        <w:t>: copy template, read execution plan, implement strategy, build, fix errors, run backtest, analyze events, write report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Data format reference</w:t>
      </w:r>
      <w:r>
        <w:rPr>
          <w:rFonts w:eastAsia="等线" w:ascii="Arial" w:cs="Arial" w:hAnsi="Arial"/>
          <w:sz w:val="22"/>
        </w:rPr>
        <w:t>: parquet column schemas for snapshots, trades, updates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Output contract</w:t>
      </w:r>
      <w:r>
        <w:rPr>
          <w:rFonts w:eastAsia="等线" w:ascii="Arial" w:cs="Arial" w:hAnsi="Arial"/>
          <w:sz w:val="22"/>
        </w:rPr>
        <w:t>: what files must exist when done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Pointers to references</w:t>
      </w:r>
      <w:r>
        <w:rPr>
          <w:rFonts w:eastAsia="等线" w:ascii="Arial" w:cs="Arial" w:hAnsi="Arial"/>
          <w:sz w:val="22"/>
        </w:rPr>
        <w:t>: links to trade-server and template repo docs for implementation details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Implementation-level details (trait signatures, builder patterns, pitfalls) live in the AGENTS.md/CLAUDE.md files within trade-server and the template repo. The coding agent discovers these automatically when it reads those repos. The top-level AGENTS.md should not duplicate them.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file is purpose-built for the devbox environment. It uses absolute paths and makes no attempt at portability.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Data management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 </w:t>
      </w:r>
      <w:r>
        <w:rPr>
          <w:rFonts w:eastAsia="Consolas" w:ascii="Consolas" w:cs="Consolas" w:hAnsi="Consolas"/>
          <w:sz w:val="22"/>
          <w:shd w:fill="EFF0F1"/>
        </w:rPr>
        <w:t>poly-data</w:t>
      </w:r>
      <w:r>
        <w:rPr>
          <w:rFonts w:eastAsia="等线" w:ascii="Arial" w:cs="Arial" w:hAnsi="Arial"/>
          <w:sz w:val="22"/>
        </w:rPr>
        <w:t xml:space="preserve"> CLI handles data sync and resolution. During PoC this lives in polysharp; it will be extracted to its own repo post-PoC.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Sync data from ewr1-3 to local</w:t>
              <w:br/>
              <w:t>poly-data sync --date 2025-01-15</w:t>
              <w:br/>
              <w:br/>
              <w:t># Resolve filtered parquet paths for specific tickers</w:t>
              <w:br/>
            </w:r>
            <w:r>
              <w:rPr>
                <w:rFonts w:eastAsia="Consolas" w:ascii="Consolas" w:cs="Consolas" w:hAnsi="Consolas"/>
                <w:sz w:val="22"/>
              </w:rPr>
              <w:t>poly-data resolve --date 2025-01-15 --pattern "BTC*"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devbox VM has SSH access to ewr1-3 for data transfer. Data is fetched on-demand as part of the agent workflow.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The </w:t>
      </w:r>
      <w:r>
        <w:rPr>
          <w:rFonts w:eastAsia="Consolas" w:ascii="Consolas" w:cs="Consolas" w:hAnsi="Consolas"/>
          <w:sz w:val="22"/>
          <w:shd w:fill="EFF0F1"/>
        </w:rPr>
        <w:t>poly-data</w:t>
      </w:r>
      <w:r>
        <w:rPr>
          <w:rFonts w:eastAsia="等线" w:ascii="Arial" w:cs="Arial" w:hAnsi="Arial"/>
          <w:sz w:val="22"/>
        </w:rPr>
        <w:t xml:space="preserve"> tool is installed during provisioning from polysharp.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Provisioning</w:t>
      </w:r>
      <w:bookmarkEnd w:id="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Follows the established Ansible + Nix + Home Manager pattern from the openclaw setup.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Ansible roles</w:t>
      </w:r>
      <w:bookmarkEnd w:id="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Responsibility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base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Create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devbox</w:t>
            </w:r>
            <w:r>
              <w:rPr>
                <w:rFonts w:eastAsia="等线" w:ascii="Arial" w:cs="Arial" w:hAnsi="Arial"/>
                <w:sz w:val="22"/>
              </w:rPr>
              <w:t xml:space="preserve"> user, install Nix, clone nixos-config, apply home-manager profile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devbox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Checkout repos (trade-server, strategy template), install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poly-data</w:t>
            </w:r>
            <w:r>
              <w:rPr>
                <w:rFonts w:eastAsia="等线" w:ascii="Arial" w:cs="Arial" w:hAnsi="Arial"/>
                <w:sz w:val="22"/>
              </w:rPr>
              <w:t>, stage SSH keys for ewr1-3, install AGENTS.md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Home Manager profile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Packages: </w:t>
      </w:r>
      <w:r>
        <w:rPr>
          <w:rFonts w:eastAsia="Consolas" w:ascii="Consolas" w:cs="Consolas" w:hAnsi="Consolas"/>
          <w:sz w:val="22"/>
          <w:shd w:fill="EFF0F1"/>
        </w:rPr>
        <w:t>rustup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uv</w:t>
      </w:r>
      <w:r>
        <w:rPr>
          <w:rFonts w:eastAsia="等线" w:ascii="Arial" w:cs="Arial" w:hAnsi="Arial"/>
          <w:sz w:val="22"/>
        </w:rPr>
        <w:t xml:space="preserve"> (for poly-data), </w:t>
      </w:r>
      <w:r>
        <w:rPr>
          <w:rFonts w:eastAsia="Consolas" w:ascii="Consolas" w:cs="Consolas" w:hAnsi="Consolas"/>
          <w:sz w:val="22"/>
          <w:shd w:fill="EFF0F1"/>
        </w:rPr>
        <w:t>git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tmux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jq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ripgrep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pkg-config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cmake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protobuf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clang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openssl</w:t>
      </w:r>
      <w:r>
        <w:rPr>
          <w:rFonts w:eastAsia="等线" w:ascii="Arial" w:cs="Arial" w:hAnsi="Arial"/>
          <w:sz w:val="22"/>
        </w:rPr>
        <w:t xml:space="preserve">, standard dev tools. Nix provides </w:t>
      </w:r>
      <w:r>
        <w:rPr>
          <w:rFonts w:eastAsia="Consolas" w:ascii="Consolas" w:cs="Consolas" w:hAnsi="Consolas"/>
          <w:sz w:val="22"/>
          <w:shd w:fill="EFF0F1"/>
        </w:rPr>
        <w:t>rustup</w:t>
      </w:r>
      <w:r>
        <w:rPr>
          <w:rFonts w:eastAsia="等线" w:ascii="Arial" w:cs="Arial" w:hAnsi="Arial"/>
          <w:sz w:val="22"/>
        </w:rPr>
        <w:t xml:space="preserve">; the actual Rust toolchain is installed via </w:t>
      </w:r>
      <w:r>
        <w:rPr>
          <w:rFonts w:eastAsia="Consolas" w:ascii="Consolas" w:cs="Consolas" w:hAnsi="Consolas"/>
          <w:sz w:val="22"/>
          <w:shd w:fill="EFF0F1"/>
        </w:rPr>
        <w:t>rustup</w:t>
      </w:r>
      <w:r>
        <w:rPr>
          <w:rFonts w:eastAsia="等线" w:ascii="Arial" w:cs="Arial" w:hAnsi="Arial"/>
          <w:sz w:val="22"/>
        </w:rPr>
        <w:t xml:space="preserve"> during provisioning (not via Nix's Rust packages).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Environment: </w:t>
      </w:r>
      <w:r>
        <w:rPr>
          <w:rFonts w:eastAsia="Consolas" w:ascii="Consolas" w:cs="Consolas" w:hAnsi="Consolas"/>
          <w:sz w:val="22"/>
          <w:shd w:fill="EFF0F1"/>
        </w:rPr>
        <w:t>CARGO_HOME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OPENSSL_DIR</w:t>
      </w:r>
      <w:r>
        <w:rPr>
          <w:rFonts w:eastAsia="等线" w:ascii="Arial" w:cs="Arial" w:hAnsi="Arial"/>
          <w:sz w:val="22"/>
        </w:rPr>
        <w:t>/</w:t>
      </w:r>
      <w:r>
        <w:rPr>
          <w:rFonts w:eastAsia="Consolas" w:ascii="Consolas" w:cs="Consolas" w:hAnsi="Consolas"/>
          <w:sz w:val="22"/>
          <w:shd w:fill="EFF0F1"/>
        </w:rPr>
        <w:t>OPENSSL_LIB_DIR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PROTOC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LIBCLANG_PATH</w:t>
      </w:r>
      <w:r>
        <w:rPr>
          <w:rFonts w:eastAsia="等线" w:ascii="Arial" w:cs="Arial" w:hAnsi="Arial"/>
          <w:sz w:val="22"/>
        </w:rPr>
        <w:t xml:space="preserve">, data directories, any required env vars. See </w:t>
      </w:r>
      <w:r>
        <w:rPr>
          <w:rFonts w:eastAsia="Consolas" w:ascii="Consolas" w:cs="Consolas" w:hAnsi="Consolas"/>
          <w:sz w:val="22"/>
          <w:shd w:fill="EFF0F1"/>
        </w:rPr>
        <w:t>&lt;popeyes&gt;/polysharp/flake.nix</w:t>
      </w:r>
      <w:r>
        <w:rPr>
          <w:rFonts w:eastAsia="等线" w:ascii="Arial" w:cs="Arial" w:hAnsi="Arial"/>
          <w:sz w:val="22"/>
        </w:rPr>
        <w:t xml:space="preserve"> for the reference set of build environment variables.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Repo checkout</w:t>
      </w:r>
      <w:bookmarkEnd w:id="11"/>
    </w:p>
    <w:p>
      <w:pPr>
        <w:spacing w:before="120" w:after="120" w:line="288" w:lineRule="auto"/>
        <w:ind w:left="0"/>
        <w:jc w:val="left"/>
      </w:pP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trade-server</w:t>
      </w:r>
      <w:r>
        <w:rPr>
          <w:rFonts w:eastAsia="等线" w:ascii="Arial" w:cs="Arial" w:hAnsi="Arial"/>
          <w:sz w:val="22"/>
        </w:rPr>
        <w:t xml:space="preserve"> — as a dependency reference (the template's </w:t>
      </w:r>
      <w:r>
        <w:rPr>
          <w:rFonts w:eastAsia="Consolas" w:ascii="Consolas" w:cs="Consolas" w:hAnsi="Consolas"/>
          <w:sz w:val="22"/>
          <w:shd w:fill="EFF0F1"/>
        </w:rPr>
        <w:t>Cargo.toml</w:t>
      </w:r>
      <w:r>
        <w:rPr>
          <w:rFonts w:eastAsia="等线" w:ascii="Arial" w:cs="Arial" w:hAnsi="Arial"/>
          <w:sz w:val="22"/>
        </w:rPr>
        <w:t xml:space="preserve"> points to it via path or git)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Strategy template — copied into workspace per session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poly-data</w:t>
      </w:r>
      <w:r>
        <w:rPr>
          <w:rFonts w:eastAsia="等线" w:ascii="Arial" w:cs="Arial" w:hAnsi="Arial"/>
          <w:sz w:val="22"/>
        </w:rPr>
        <w:t xml:space="preserve"> — installed from polysharp (own repo post-PoC)</w:t>
      </w:r>
    </w:p>
    <w:p>
      <w:pPr>
        <w:spacing w:before="120" w:after="120" w:line="288" w:lineRule="auto"/>
        <w:ind w:left="453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Agent Workflow</w:t>
      </w:r>
      <w:bookmarkEnd w:id="1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When the coding agent starts with an execution plan, it follows this sequence: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Read AGENTS.md</w:t>
      </w:r>
      <w:r>
        <w:rPr>
          <w:rFonts w:eastAsia="等线" w:ascii="Arial" w:cs="Arial" w:hAnsi="Arial"/>
          <w:sz w:val="22"/>
        </w:rPr>
        <w:t xml:space="preserve"> — understand the environment and workflow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Read execution plan</w:t>
      </w:r>
      <w:r>
        <w:rPr>
          <w:rFonts w:eastAsia="等线" w:ascii="Arial" w:cs="Arial" w:hAnsi="Arial"/>
          <w:sz w:val="22"/>
        </w:rPr>
        <w:t xml:space="preserve"> — understand the strategy to implement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Copy template</w:t>
      </w:r>
      <w:r>
        <w:rPr>
          <w:rFonts w:eastAsia="等线" w:ascii="Arial" w:cs="Arial" w:hAnsi="Arial"/>
          <w:sz w:val="22"/>
        </w:rPr>
        <w:t xml:space="preserve"> to workspace directory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Sync data</w:t>
      </w:r>
      <w:r>
        <w:rPr>
          <w:rFonts w:eastAsia="等线" w:ascii="Arial" w:cs="Arial" w:hAnsi="Arial"/>
          <w:sz w:val="22"/>
        </w:rPr>
        <w:t xml:space="preserve"> — </w:t>
      </w:r>
      <w:r>
        <w:rPr>
          <w:rFonts w:eastAsia="Consolas" w:ascii="Consolas" w:cs="Consolas" w:hAnsi="Consolas"/>
          <w:sz w:val="22"/>
          <w:shd w:fill="EFF0F1"/>
        </w:rPr>
        <w:t>poly-data sync --date &lt;date&gt;</w:t>
      </w:r>
      <w:r>
        <w:rPr>
          <w:rFonts w:eastAsia="等线" w:ascii="Arial" w:cs="Arial" w:hAnsi="Arial"/>
          <w:sz w:val="22"/>
        </w:rPr>
        <w:t xml:space="preserve"> for required dates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Resolve data</w:t>
      </w:r>
      <w:r>
        <w:rPr>
          <w:rFonts w:eastAsia="等线" w:ascii="Arial" w:cs="Arial" w:hAnsi="Arial"/>
          <w:sz w:val="22"/>
        </w:rPr>
        <w:t xml:space="preserve"> — </w:t>
      </w:r>
      <w:r>
        <w:rPr>
          <w:rFonts w:eastAsia="Consolas" w:ascii="Consolas" w:cs="Consolas" w:hAnsi="Consolas"/>
          <w:sz w:val="22"/>
          <w:shd w:fill="EFF0F1"/>
        </w:rPr>
        <w:t>poly-data resolve --date &lt;date&gt; --pattern &lt;tickers&gt;</w:t>
      </w:r>
      <w:r>
        <w:rPr>
          <w:rFonts w:eastAsia="等线" w:ascii="Arial" w:cs="Arial" w:hAnsi="Arial"/>
          <w:sz w:val="22"/>
        </w:rPr>
        <w:t xml:space="preserve"> to get parquet paths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Implement strategy</w:t>
      </w:r>
      <w:r>
        <w:rPr>
          <w:rFonts w:eastAsia="等线" w:ascii="Arial" w:cs="Arial" w:hAnsi="Arial"/>
          <w:sz w:val="22"/>
        </w:rPr>
        <w:t xml:space="preserve"> — modify </w:t>
      </w:r>
      <w:r>
        <w:rPr>
          <w:rFonts w:eastAsia="Consolas" w:ascii="Consolas" w:cs="Consolas" w:hAnsi="Consolas"/>
          <w:sz w:val="22"/>
          <w:shd w:fill="EFF0F1"/>
        </w:rPr>
        <w:t>strategy.rs</w:t>
      </w:r>
      <w:r>
        <w:rPr>
          <w:rFonts w:eastAsia="等线" w:ascii="Arial" w:cs="Arial" w:hAnsi="Arial"/>
          <w:sz w:val="22"/>
        </w:rPr>
        <w:t xml:space="preserve">: update </w:t>
      </w:r>
      <w:r>
        <w:rPr>
          <w:rFonts w:eastAsia="Consolas" w:ascii="Consolas" w:cs="Consolas" w:hAnsi="Consolas"/>
          <w:sz w:val="22"/>
          <w:shd w:fill="EFF0F1"/>
        </w:rPr>
        <w:t>generate_signal()</w:t>
      </w:r>
      <w:r>
        <w:rPr>
          <w:rFonts w:eastAsia="等线" w:ascii="Arial" w:cs="Arial" w:hAnsi="Arial"/>
          <w:sz w:val="22"/>
        </w:rPr>
        <w:t xml:space="preserve">, adjust signal struct, tune </w:t>
      </w:r>
      <w:r>
        <w:rPr>
          <w:rFonts w:eastAsia="Consolas" w:ascii="Consolas" w:cs="Consolas" w:hAnsi="Consolas"/>
          <w:sz w:val="22"/>
          <w:shd w:fill="EFF0F1"/>
        </w:rPr>
        <w:t>BacktestConfig</w:t>
      </w:r>
      <w:r>
        <w:rPr>
          <w:rFonts w:eastAsia="等线" w:ascii="Arial" w:cs="Arial" w:hAnsi="Arial"/>
          <w:sz w:val="22"/>
        </w:rPr>
        <w:t xml:space="preserve"> parameters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Build</w:t>
      </w:r>
      <w:r>
        <w:rPr>
          <w:rFonts w:eastAsia="等线" w:ascii="Arial" w:cs="Arial" w:hAnsi="Arial"/>
          <w:sz w:val="22"/>
        </w:rPr>
        <w:t xml:space="preserve"> — </w:t>
      </w:r>
      <w:r>
        <w:rPr>
          <w:rFonts w:eastAsia="Consolas" w:ascii="Consolas" w:cs="Consolas" w:hAnsi="Consolas"/>
          <w:sz w:val="22"/>
          <w:shd w:fill="EFF0F1"/>
        </w:rPr>
        <w:t>cargo build</w:t>
      </w:r>
      <w:r>
        <w:rPr>
          <w:rFonts w:eastAsia="等线" w:ascii="Arial" w:cs="Arial" w:hAnsi="Arial"/>
          <w:sz w:val="22"/>
        </w:rPr>
        <w:t>, fix any compilation errors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Run backtest</w:t>
      </w:r>
      <w:r>
        <w:rPr>
          <w:rFonts w:eastAsia="等线" w:ascii="Arial" w:cs="Arial" w:hAnsi="Arial"/>
          <w:sz w:val="22"/>
        </w:rPr>
        <w:t xml:space="preserve"> — execute binary with resolved data paths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Analyze</w:t>
      </w:r>
      <w:r>
        <w:rPr>
          <w:rFonts w:eastAsia="等线" w:ascii="Arial" w:cs="Arial" w:hAnsi="Arial"/>
          <w:sz w:val="22"/>
        </w:rPr>
        <w:t xml:space="preserve"> — inspect JSONL event output and </w:t>
      </w:r>
      <w:r>
        <w:rPr>
          <w:rFonts w:eastAsia="Consolas" w:ascii="Consolas" w:cs="Consolas" w:hAnsi="Consolas"/>
          <w:sz w:val="22"/>
          <w:shd w:fill="EFF0F1"/>
        </w:rPr>
        <w:t>BacktestMetrics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Write report</w:t>
      </w:r>
      <w:r>
        <w:rPr>
          <w:rFonts w:eastAsia="等线" w:ascii="Arial" w:cs="Arial" w:hAnsi="Arial"/>
          <w:sz w:val="22"/>
        </w:rPr>
        <w:t xml:space="preserve"> — produce </w:t>
      </w:r>
      <w:r>
        <w:rPr>
          <w:rFonts w:eastAsia="Consolas" w:ascii="Consolas" w:cs="Consolas" w:hAnsi="Consolas"/>
          <w:sz w:val="22"/>
          <w:shd w:fill="EFF0F1"/>
        </w:rPr>
        <w:t>output/report.md</w:t>
      </w:r>
      <w:r>
        <w:rPr>
          <w:rFonts w:eastAsia="等线" w:ascii="Arial" w:cs="Arial" w:hAnsi="Arial"/>
          <w:sz w:val="22"/>
        </w:rPr>
        <w:t xml:space="preserve"> with performance stats, insights, and feasibility conclusion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Write status</w:t>
      </w:r>
      <w:r>
        <w:rPr>
          <w:rFonts w:eastAsia="等线" w:ascii="Arial" w:cs="Arial" w:hAnsi="Arial"/>
          <w:sz w:val="22"/>
        </w:rPr>
        <w:t xml:space="preserve"> — update </w:t>
      </w:r>
      <w:r>
        <w:rPr>
          <w:rFonts w:eastAsia="Consolas" w:ascii="Consolas" w:cs="Consolas" w:hAnsi="Consolas"/>
          <w:sz w:val="22"/>
          <w:shd w:fill="EFF0F1"/>
        </w:rPr>
        <w:t>output/status.json</w:t>
      </w:r>
      <w:r>
        <w:rPr>
          <w:rFonts w:eastAsia="等线" w:ascii="Arial" w:cs="Arial" w:hAnsi="Arial"/>
          <w:sz w:val="22"/>
        </w:rPr>
        <w:t xml:space="preserve"> with final state and artifact paths</w:t>
      </w:r>
    </w:p>
    <w:p>
      <w:pPr>
        <w:spacing w:before="120" w:after="120" w:line="288" w:lineRule="auto"/>
        <w:ind w:left="453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Artifacts</w:t>
      </w:r>
      <w:bookmarkEnd w:id="1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Located in </w:t>
      </w:r>
      <w:r>
        <w:rPr>
          <w:rFonts w:eastAsia="Consolas" w:ascii="Consolas" w:cs="Consolas" w:hAnsi="Consolas"/>
          <w:sz w:val="22"/>
          <w:shd w:fill="EFF0F1"/>
        </w:rPr>
        <w:t>/home/devbox/workspace/&lt;session&gt;/output/</w:t>
      </w:r>
      <w:r>
        <w:rPr>
          <w:rFonts w:eastAsia="等线" w:ascii="Arial" w:cs="Arial" w:hAnsi="Arial"/>
          <w:sz w:val="22"/>
        </w:rPr>
        <w:t>: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strategy.rs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The implemented strategy source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backtest_events.jsonl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Raw event log from trade-server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metrics.json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BacktestMetrics</w:t>
            </w:r>
            <w:r>
              <w:rPr>
                <w:rFonts w:eastAsia="等线" w:ascii="Arial" w:cs="Arial" w:hAnsi="Arial"/>
                <w:sz w:val="22"/>
              </w:rPr>
              <w:t xml:space="preserve"> output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report.md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Human-readable analysis: performance stats, insights, feasibility conclusion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status.json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Machine-readable status for orchestrator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PoC Execution Plan</w:t>
      </w:r>
      <w:bookmarkEnd w:id="1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Build the full environment end-to-end, then use a concrete backtest target to iterate the agent workflow to completion.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Phase 1: Provision the VM</w:t>
      </w:r>
      <w:bookmarkEnd w:id="1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 Incus (fast to create and destroy) to spin up a container/VM as the devbox environment. This gives us a clean, reproducible target without committing to cloud infrastructure.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 an Incus container with Ubuntu base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Create </w:t>
      </w:r>
      <w:r>
        <w:rPr>
          <w:rFonts w:eastAsia="Consolas" w:ascii="Consolas" w:cs="Consolas" w:hAnsi="Consolas"/>
          <w:sz w:val="22"/>
          <w:shd w:fill="EFF0F1"/>
        </w:rPr>
        <w:t>devbox</w:t>
      </w:r>
      <w:r>
        <w:rPr>
          <w:rFonts w:eastAsia="等线" w:ascii="Arial" w:cs="Arial" w:hAnsi="Arial"/>
          <w:sz w:val="22"/>
        </w:rPr>
        <w:t xml:space="preserve"> user with sudo access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Install Nix and apply Home Manager profile (rustup, uv, git, tmux, jq, ripgrep, standard dev tools). Rust toolchain is installed via </w:t>
      </w:r>
      <w:r>
        <w:rPr>
          <w:rFonts w:eastAsia="Consolas" w:ascii="Consolas" w:cs="Consolas" w:hAnsi="Consolas"/>
          <w:sz w:val="22"/>
          <w:shd w:fill="EFF0F1"/>
        </w:rPr>
        <w:t>rustup</w:t>
      </w:r>
      <w:r>
        <w:rPr>
          <w:rFonts w:eastAsia="等线" w:ascii="Arial" w:cs="Arial" w:hAnsi="Arial"/>
          <w:sz w:val="22"/>
        </w:rPr>
        <w:t xml:space="preserve"> post-Nix, not via Nix's Rust packages — follows the polysharp pattern.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Generate deploy keys for GitHub repo access (trade-server, polysharp), store in ansible-vault. Vault password file lives outside this repo.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Stage SSH keys: deploy keys for GitHub, access keys for ewr1-3 data transfer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Phase 2: Install dependencies and checkout repos</w:t>
      </w:r>
      <w:bookmarkEnd w:id="16"/>
    </w:p>
    <w:p>
      <w:pPr>
        <w:spacing w:before="120" w:after="120" w:line="288" w:lineRule="auto"/>
        <w:ind w:left="0"/>
        <w:jc w:val="left"/>
      </w:pP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Checkout </w:t>
      </w:r>
      <w:r>
        <w:rPr>
          <w:rFonts w:eastAsia="Consolas" w:ascii="Consolas" w:cs="Consolas" w:hAnsi="Consolas"/>
          <w:sz w:val="22"/>
          <w:shd w:fill="EFF0F1"/>
        </w:rPr>
        <w:t>trade-server</w:t>
      </w:r>
      <w:r>
        <w:rPr>
          <w:rFonts w:eastAsia="等线" w:ascii="Arial" w:cs="Arial" w:hAnsi="Arial"/>
          <w:sz w:val="22"/>
        </w:rPr>
        <w:t xml:space="preserve"> (dependency reference for template's </w:t>
      </w:r>
      <w:r>
        <w:rPr>
          <w:rFonts w:eastAsia="Consolas" w:ascii="Consolas" w:cs="Consolas" w:hAnsi="Consolas"/>
          <w:sz w:val="22"/>
          <w:shd w:fill="EFF0F1"/>
        </w:rPr>
        <w:t>Cargo.toml</w:t>
      </w:r>
      <w:r>
        <w:rPr>
          <w:rFonts w:eastAsia="等线" w:ascii="Arial" w:cs="Arial" w:hAnsi="Arial"/>
          <w:sz w:val="22"/>
        </w:rPr>
        <w:t>)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Checkout strategy template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Install </w:t>
      </w:r>
      <w:r>
        <w:rPr>
          <w:rFonts w:eastAsia="Consolas" w:ascii="Consolas" w:cs="Consolas" w:hAnsi="Consolas"/>
          <w:sz w:val="22"/>
          <w:shd w:fill="EFF0F1"/>
        </w:rPr>
        <w:t>poly-data</w:t>
      </w:r>
      <w:r>
        <w:rPr>
          <w:rFonts w:eastAsia="等线" w:ascii="Arial" w:cs="Arial" w:hAnsi="Arial"/>
          <w:sz w:val="22"/>
        </w:rPr>
        <w:t xml:space="preserve"> from polysharp into the devbox user's environment — keep it in polysharp for now; extracting to its own repo is post-PoC work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Verify: </w:t>
      </w:r>
      <w:r>
        <w:rPr>
          <w:rFonts w:eastAsia="Consolas" w:ascii="Consolas" w:cs="Consolas" w:hAnsi="Consolas"/>
          <w:sz w:val="22"/>
          <w:shd w:fill="EFF0F1"/>
        </w:rPr>
        <w:t>poly-data sync</w:t>
      </w:r>
      <w:r>
        <w:rPr>
          <w:rFonts w:eastAsia="等线" w:ascii="Arial" w:cs="Arial" w:hAnsi="Arial"/>
          <w:sz w:val="22"/>
        </w:rPr>
        <w:t xml:space="preserve"> and </w:t>
      </w:r>
      <w:r>
        <w:rPr>
          <w:rFonts w:eastAsia="Consolas" w:ascii="Consolas" w:cs="Consolas" w:hAnsi="Consolas"/>
          <w:sz w:val="22"/>
          <w:shd w:fill="EFF0F1"/>
        </w:rPr>
        <w:t>poly-data resolve</w:t>
      </w:r>
      <w:r>
        <w:rPr>
          <w:rFonts w:eastAsia="等线" w:ascii="Arial" w:cs="Arial" w:hAnsi="Arial"/>
          <w:sz w:val="22"/>
        </w:rPr>
        <w:t xml:space="preserve"> work from the devbox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Phase 3: Define target and iterate</w:t>
      </w:r>
      <w:bookmarkEnd w:id="1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Pick a concrete, achievable backtest target (e.g., "buy when mid &lt; 0.3 and time-to-expiry &gt; 5 min" on a specific date/ticker). Use this to drive iterative refinement: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Write draft AGENTS.md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 the strategy template with a working trivial strategy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Start a coding agent in the devbox with the target prompt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Observe: does it produce a compiling strategy, run the backtest, and generate a report?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Fix what breaks — iterate on AGENTS.md, template, data tooling, and environment until the target completes end-to-end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PoC is done when the agent can reliably go from execution plan to backtest report without manual intervention.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Future Work (out of scope)</w:t>
      </w:r>
      <w:bookmarkEnd w:id="18"/>
    </w:p>
    <w:p>
      <w:pPr>
        <w:spacing w:before="120" w:after="120" w:line="288" w:lineRule="auto"/>
        <w:ind w:left="0"/>
        <w:jc w:val="left"/>
      </w:pP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Orchestrator agent design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Artifact version management (git-based)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Pipeline from backtest to paper/live deployment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Templates for non-Polymarket markets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Multi-strategy composition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041">
    <w:lvl>
      <w:numFmt w:val="bullet"/>
      <w:suff w:val="tab"/>
      <w:lvlText w:val="•"/>
      <w:rPr>
        <w:color w:val="3370ff"/>
      </w:rPr>
    </w:lvl>
  </w:abstractNum>
  <w:abstractNum w:abstractNumId="5042">
    <w:lvl>
      <w:numFmt w:val="bullet"/>
      <w:suff w:val="tab"/>
      <w:lvlText w:val="•"/>
      <w:rPr>
        <w:color w:val="3370ff"/>
      </w:rPr>
    </w:lvl>
  </w:abstractNum>
  <w:abstractNum w:abstractNumId="5043">
    <w:lvl>
      <w:numFmt w:val="bullet"/>
      <w:suff w:val="tab"/>
      <w:lvlText w:val="•"/>
      <w:rPr>
        <w:color w:val="3370ff"/>
      </w:rPr>
    </w:lvl>
  </w:abstractNum>
  <w:abstractNum w:abstractNumId="5044">
    <w:lvl>
      <w:numFmt w:val="bullet"/>
      <w:suff w:val="tab"/>
      <w:lvlText w:val="•"/>
      <w:rPr>
        <w:color w:val="3370ff"/>
      </w:rPr>
    </w:lvl>
  </w:abstractNum>
  <w:abstractNum w:abstractNumId="5045">
    <w:lvl>
      <w:numFmt w:val="bullet"/>
      <w:suff w:val="tab"/>
      <w:lvlText w:val="•"/>
      <w:rPr>
        <w:color w:val="3370ff"/>
      </w:rPr>
    </w:lvl>
  </w:abstractNum>
  <w:abstractNum w:abstractNumId="5046">
    <w:lvl>
      <w:numFmt w:val="bullet"/>
      <w:suff w:val="tab"/>
      <w:lvlText w:val="•"/>
      <w:rPr>
        <w:color w:val="3370ff"/>
      </w:rPr>
    </w:lvl>
  </w:abstractNum>
  <w:abstractNum w:abstractNumId="5047">
    <w:lvl>
      <w:numFmt w:val="bullet"/>
      <w:suff w:val="tab"/>
      <w:lvlText w:val="•"/>
      <w:rPr>
        <w:color w:val="3370ff"/>
      </w:rPr>
    </w:lvl>
  </w:abstractNum>
  <w:abstractNum w:abstractNumId="5048">
    <w:lvl>
      <w:numFmt w:val="bullet"/>
      <w:suff w:val="tab"/>
      <w:lvlText w:val="•"/>
      <w:rPr>
        <w:color w:val="3370ff"/>
      </w:rPr>
    </w:lvl>
  </w:abstractNum>
  <w:abstractNum w:abstractNumId="5049">
    <w:lvl>
      <w:numFmt w:val="bullet"/>
      <w:suff w:val="tab"/>
      <w:lvlText w:val="•"/>
      <w:rPr>
        <w:color w:val="3370ff"/>
      </w:rPr>
    </w:lvl>
  </w:abstractNum>
  <w:abstractNum w:abstractNumId="5050">
    <w:lvl>
      <w:numFmt w:val="bullet"/>
      <w:suff w:val="tab"/>
      <w:lvlText w:val="•"/>
      <w:rPr>
        <w:color w:val="3370ff"/>
      </w:rPr>
    </w:lvl>
  </w:abstractNum>
  <w:abstractNum w:abstractNumId="5051">
    <w:lvl>
      <w:numFmt w:val="bullet"/>
      <w:suff w:val="tab"/>
      <w:lvlText w:val="•"/>
      <w:rPr>
        <w:color w:val="3370ff"/>
      </w:rPr>
    </w:lvl>
  </w:abstractNum>
  <w:abstractNum w:abstractNumId="5052">
    <w:lvl>
      <w:numFmt w:val="bullet"/>
      <w:suff w:val="tab"/>
      <w:lvlText w:val="•"/>
      <w:rPr>
        <w:color w:val="3370ff"/>
      </w:rPr>
    </w:lvl>
  </w:abstractNum>
  <w:abstractNum w:abstractNumId="5053">
    <w:lvl>
      <w:numFmt w:val="bullet"/>
      <w:suff w:val="tab"/>
      <w:lvlText w:val="•"/>
      <w:rPr>
        <w:color w:val="3370ff"/>
      </w:rPr>
    </w:lvl>
  </w:abstractNum>
  <w:abstractNum w:abstractNumId="5054">
    <w:lvl>
      <w:numFmt w:val="bullet"/>
      <w:suff w:val="tab"/>
      <w:lvlText w:val="•"/>
      <w:rPr>
        <w:color w:val="3370ff"/>
      </w:rPr>
    </w:lvl>
  </w:abstractNum>
  <w:abstractNum w:abstractNumId="5055">
    <w:lvl>
      <w:numFmt w:val="bullet"/>
      <w:suff w:val="tab"/>
      <w:lvlText w:val="•"/>
      <w:rPr>
        <w:color w:val="3370ff"/>
      </w:rPr>
    </w:lvl>
  </w:abstractNum>
  <w:abstractNum w:abstractNumId="5056">
    <w:lvl>
      <w:numFmt w:val="bullet"/>
      <w:suff w:val="tab"/>
      <w:lvlText w:val="•"/>
      <w:rPr>
        <w:color w:val="3370ff"/>
      </w:rPr>
    </w:lvl>
  </w:abstractNum>
  <w:abstractNum w:abstractNumId="5057">
    <w:lvl>
      <w:numFmt w:val="bullet"/>
      <w:suff w:val="tab"/>
      <w:lvlText w:val="•"/>
      <w:rPr>
        <w:color w:val="3370ff"/>
      </w:rPr>
    </w:lvl>
  </w:abstractNum>
  <w:abstractNum w:abstractNumId="5058">
    <w:lvl>
      <w:numFmt w:val="bullet"/>
      <w:suff w:val="tab"/>
      <w:lvlText w:val="•"/>
      <w:rPr>
        <w:color w:val="3370ff"/>
      </w:rPr>
    </w:lvl>
  </w:abstractNum>
  <w:abstractNum w:abstractNumId="5059">
    <w:lvl>
      <w:numFmt w:val="bullet"/>
      <w:suff w:val="tab"/>
      <w:lvlText w:val="•"/>
      <w:rPr>
        <w:color w:val="3370ff"/>
      </w:rPr>
    </w:lvl>
  </w:abstractNum>
  <w:abstractNum w:abstractNumId="5060">
    <w:lvl>
      <w:numFmt w:val="bullet"/>
      <w:suff w:val="tab"/>
      <w:lvlText w:val="•"/>
      <w:rPr>
        <w:color w:val="3370ff"/>
      </w:rPr>
    </w:lvl>
  </w:abstractNum>
  <w:abstractNum w:abstractNumId="5061">
    <w:lvl>
      <w:start w:val="1"/>
      <w:numFmt w:val="decimal"/>
      <w:suff w:val="tab"/>
      <w:lvlText w:val="%1."/>
      <w:rPr>
        <w:color w:val="3370ff"/>
      </w:rPr>
    </w:lvl>
  </w:abstractNum>
  <w:abstractNum w:abstractNumId="5062">
    <w:lvl>
      <w:start w:val="2"/>
      <w:numFmt w:val="decimal"/>
      <w:suff w:val="tab"/>
      <w:lvlText w:val="%1."/>
      <w:rPr>
        <w:color w:val="3370ff"/>
      </w:rPr>
    </w:lvl>
  </w:abstractNum>
  <w:abstractNum w:abstractNumId="5063">
    <w:lvl>
      <w:start w:val="3"/>
      <w:numFmt w:val="decimal"/>
      <w:suff w:val="tab"/>
      <w:lvlText w:val="%1."/>
      <w:rPr>
        <w:color w:val="3370ff"/>
      </w:rPr>
    </w:lvl>
  </w:abstractNum>
  <w:abstractNum w:abstractNumId="5064">
    <w:lvl>
      <w:start w:val="4"/>
      <w:numFmt w:val="decimal"/>
      <w:suff w:val="tab"/>
      <w:lvlText w:val="%1."/>
      <w:rPr>
        <w:color w:val="3370ff"/>
      </w:rPr>
    </w:lvl>
  </w:abstractNum>
  <w:abstractNum w:abstractNumId="5065">
    <w:lvl>
      <w:start w:val="5"/>
      <w:numFmt w:val="decimal"/>
      <w:suff w:val="tab"/>
      <w:lvlText w:val="%1."/>
      <w:rPr>
        <w:color w:val="3370ff"/>
      </w:rPr>
    </w:lvl>
  </w:abstractNum>
  <w:abstractNum w:abstractNumId="5066">
    <w:lvl>
      <w:start w:val="6"/>
      <w:numFmt w:val="decimal"/>
      <w:suff w:val="tab"/>
      <w:lvlText w:val="%1."/>
      <w:rPr>
        <w:color w:val="3370ff"/>
      </w:rPr>
    </w:lvl>
  </w:abstractNum>
  <w:abstractNum w:abstractNumId="5067">
    <w:lvl>
      <w:start w:val="7"/>
      <w:numFmt w:val="decimal"/>
      <w:suff w:val="tab"/>
      <w:lvlText w:val="%1."/>
      <w:rPr>
        <w:color w:val="3370ff"/>
      </w:rPr>
    </w:lvl>
  </w:abstractNum>
  <w:abstractNum w:abstractNumId="5068">
    <w:lvl>
      <w:start w:val="8"/>
      <w:numFmt w:val="decimal"/>
      <w:suff w:val="tab"/>
      <w:lvlText w:val="%1."/>
      <w:rPr>
        <w:color w:val="3370ff"/>
      </w:rPr>
    </w:lvl>
  </w:abstractNum>
  <w:abstractNum w:abstractNumId="5069">
    <w:lvl>
      <w:start w:val="9"/>
      <w:numFmt w:val="decimal"/>
      <w:suff w:val="tab"/>
      <w:lvlText w:val="%1."/>
      <w:rPr>
        <w:color w:val="3370ff"/>
      </w:rPr>
    </w:lvl>
  </w:abstractNum>
  <w:abstractNum w:abstractNumId="5070">
    <w:lvl>
      <w:start w:val="10"/>
      <w:numFmt w:val="decimal"/>
      <w:suff w:val="tab"/>
      <w:lvlText w:val="%1."/>
      <w:rPr>
        <w:color w:val="3370ff"/>
      </w:rPr>
    </w:lvl>
  </w:abstractNum>
  <w:abstractNum w:abstractNumId="5071">
    <w:lvl>
      <w:start w:val="11"/>
      <w:numFmt w:val="decimal"/>
      <w:suff w:val="tab"/>
      <w:lvlText w:val="%1."/>
      <w:rPr>
        <w:color w:val="3370ff"/>
      </w:rPr>
    </w:lvl>
  </w:abstractNum>
  <w:abstractNum w:abstractNumId="5072">
    <w:lvl>
      <w:start w:val="1"/>
      <w:numFmt w:val="decimal"/>
      <w:suff w:val="tab"/>
      <w:lvlText w:val="%1."/>
      <w:rPr>
        <w:color w:val="3370ff"/>
      </w:rPr>
    </w:lvl>
  </w:abstractNum>
  <w:abstractNum w:abstractNumId="5073">
    <w:lvl>
      <w:start w:val="2"/>
      <w:numFmt w:val="decimal"/>
      <w:suff w:val="tab"/>
      <w:lvlText w:val="%1."/>
      <w:rPr>
        <w:color w:val="3370ff"/>
      </w:rPr>
    </w:lvl>
  </w:abstractNum>
  <w:abstractNum w:abstractNumId="5074">
    <w:lvl>
      <w:start w:val="3"/>
      <w:numFmt w:val="decimal"/>
      <w:suff w:val="tab"/>
      <w:lvlText w:val="%1."/>
      <w:rPr>
        <w:color w:val="3370ff"/>
      </w:rPr>
    </w:lvl>
  </w:abstractNum>
  <w:abstractNum w:abstractNumId="5075">
    <w:lvl>
      <w:start w:val="4"/>
      <w:numFmt w:val="decimal"/>
      <w:suff w:val="tab"/>
      <w:lvlText w:val="%1."/>
      <w:rPr>
        <w:color w:val="3370ff"/>
      </w:rPr>
    </w:lvl>
  </w:abstractNum>
  <w:abstractNum w:abstractNumId="5076">
    <w:lvl>
      <w:start w:val="5"/>
      <w:numFmt w:val="decimal"/>
      <w:suff w:val="tab"/>
      <w:lvlText w:val="%1."/>
      <w:rPr>
        <w:color w:val="3370ff"/>
      </w:rPr>
    </w:lvl>
  </w:abstractNum>
  <w:abstractNum w:abstractNumId="5077">
    <w:lvl>
      <w:start w:val="1"/>
      <w:numFmt w:val="decimal"/>
      <w:suff w:val="tab"/>
      <w:lvlText w:val="%1."/>
      <w:rPr>
        <w:color w:val="3370ff"/>
      </w:rPr>
    </w:lvl>
  </w:abstractNum>
  <w:abstractNum w:abstractNumId="5078">
    <w:lvl>
      <w:start w:val="2"/>
      <w:numFmt w:val="decimal"/>
      <w:suff w:val="tab"/>
      <w:lvlText w:val="%1."/>
      <w:rPr>
        <w:color w:val="3370ff"/>
      </w:rPr>
    </w:lvl>
  </w:abstractNum>
  <w:abstractNum w:abstractNumId="5079">
    <w:lvl>
      <w:start w:val="3"/>
      <w:numFmt w:val="decimal"/>
      <w:suff w:val="tab"/>
      <w:lvlText w:val="%1."/>
      <w:rPr>
        <w:color w:val="3370ff"/>
      </w:rPr>
    </w:lvl>
  </w:abstractNum>
  <w:abstractNum w:abstractNumId="5080">
    <w:lvl>
      <w:start w:val="4"/>
      <w:numFmt w:val="decimal"/>
      <w:suff w:val="tab"/>
      <w:lvlText w:val="%1."/>
      <w:rPr>
        <w:color w:val="3370ff"/>
      </w:rPr>
    </w:lvl>
  </w:abstractNum>
  <w:abstractNum w:abstractNumId="5081">
    <w:lvl>
      <w:start w:val="1"/>
      <w:numFmt w:val="decimal"/>
      <w:suff w:val="tab"/>
      <w:lvlText w:val="%1."/>
      <w:rPr>
        <w:color w:val="3370ff"/>
      </w:rPr>
    </w:lvl>
  </w:abstractNum>
  <w:abstractNum w:abstractNumId="5082">
    <w:lvl>
      <w:start w:val="2"/>
      <w:numFmt w:val="decimal"/>
      <w:suff w:val="tab"/>
      <w:lvlText w:val="%1."/>
      <w:rPr>
        <w:color w:val="3370ff"/>
      </w:rPr>
    </w:lvl>
  </w:abstractNum>
  <w:abstractNum w:abstractNumId="5083">
    <w:lvl>
      <w:start w:val="3"/>
      <w:numFmt w:val="decimal"/>
      <w:suff w:val="tab"/>
      <w:lvlText w:val="%1."/>
      <w:rPr>
        <w:color w:val="3370ff"/>
      </w:rPr>
    </w:lvl>
  </w:abstractNum>
  <w:abstractNum w:abstractNumId="5084">
    <w:lvl>
      <w:start w:val="4"/>
      <w:numFmt w:val="decimal"/>
      <w:suff w:val="tab"/>
      <w:lvlText w:val="%1."/>
      <w:rPr>
        <w:color w:val="3370ff"/>
      </w:rPr>
    </w:lvl>
  </w:abstractNum>
  <w:abstractNum w:abstractNumId="5085">
    <w:lvl>
      <w:start w:val="5"/>
      <w:numFmt w:val="decimal"/>
      <w:suff w:val="tab"/>
      <w:lvlText w:val="%1."/>
      <w:rPr>
        <w:color w:val="3370ff"/>
      </w:rPr>
    </w:lvl>
  </w:abstractNum>
  <w:abstractNum w:abstractNumId="5086">
    <w:lvl>
      <w:numFmt w:val="bullet"/>
      <w:suff w:val="tab"/>
      <w:lvlText w:val="•"/>
      <w:rPr>
        <w:color w:val="3370ff"/>
      </w:rPr>
    </w:lvl>
  </w:abstractNum>
  <w:abstractNum w:abstractNumId="5087">
    <w:lvl>
      <w:numFmt w:val="bullet"/>
      <w:suff w:val="tab"/>
      <w:lvlText w:val="•"/>
      <w:rPr>
        <w:color w:val="3370ff"/>
      </w:rPr>
    </w:lvl>
  </w:abstractNum>
  <w:abstractNum w:abstractNumId="5088">
    <w:lvl>
      <w:numFmt w:val="bullet"/>
      <w:suff w:val="tab"/>
      <w:lvlText w:val="•"/>
      <w:rPr>
        <w:color w:val="3370ff"/>
      </w:rPr>
    </w:lvl>
  </w:abstractNum>
  <w:abstractNum w:abstractNumId="5089">
    <w:lvl>
      <w:numFmt w:val="bullet"/>
      <w:suff w:val="tab"/>
      <w:lvlText w:val="•"/>
      <w:rPr>
        <w:color w:val="3370ff"/>
      </w:rPr>
    </w:lvl>
  </w:abstractNum>
  <w:abstractNum w:abstractNumId="5090">
    <w:lvl>
      <w:numFmt w:val="bullet"/>
      <w:suff w:val="tab"/>
      <w:lvlText w:val="•"/>
      <w:rPr>
        <w:color w:val="3370ff"/>
      </w:rPr>
    </w:lvl>
  </w:abstractNum>
  <w:num w:numId="1">
    <w:abstractNumId w:val="5041"/>
  </w:num>
  <w:num w:numId="2">
    <w:abstractNumId w:val="5042"/>
  </w:num>
  <w:num w:numId="3">
    <w:abstractNumId w:val="5043"/>
  </w:num>
  <w:num w:numId="4">
    <w:abstractNumId w:val="5044"/>
  </w:num>
  <w:num w:numId="5">
    <w:abstractNumId w:val="5045"/>
  </w:num>
  <w:num w:numId="6">
    <w:abstractNumId w:val="5046"/>
  </w:num>
  <w:num w:numId="7">
    <w:abstractNumId w:val="5047"/>
  </w:num>
  <w:num w:numId="8">
    <w:abstractNumId w:val="5048"/>
  </w:num>
  <w:num w:numId="9">
    <w:abstractNumId w:val="5049"/>
  </w:num>
  <w:num w:numId="10">
    <w:abstractNumId w:val="5050"/>
  </w:num>
  <w:num w:numId="11">
    <w:abstractNumId w:val="5051"/>
  </w:num>
  <w:num w:numId="12">
    <w:abstractNumId w:val="5052"/>
  </w:num>
  <w:num w:numId="13">
    <w:abstractNumId w:val="5053"/>
  </w:num>
  <w:num w:numId="14">
    <w:abstractNumId w:val="5054"/>
  </w:num>
  <w:num w:numId="15">
    <w:abstractNumId w:val="5055"/>
  </w:num>
  <w:num w:numId="16">
    <w:abstractNumId w:val="5056"/>
  </w:num>
  <w:num w:numId="17">
    <w:abstractNumId w:val="5057"/>
  </w:num>
  <w:num w:numId="18">
    <w:abstractNumId w:val="5058"/>
  </w:num>
  <w:num w:numId="19">
    <w:abstractNumId w:val="5059"/>
  </w:num>
  <w:num w:numId="20">
    <w:abstractNumId w:val="5060"/>
  </w:num>
  <w:num w:numId="21">
    <w:abstractNumId w:val="5061"/>
  </w:num>
  <w:num w:numId="22">
    <w:abstractNumId w:val="5062"/>
  </w:num>
  <w:num w:numId="23">
    <w:abstractNumId w:val="5063"/>
  </w:num>
  <w:num w:numId="24">
    <w:abstractNumId w:val="5064"/>
  </w:num>
  <w:num w:numId="25">
    <w:abstractNumId w:val="5065"/>
  </w:num>
  <w:num w:numId="26">
    <w:abstractNumId w:val="5066"/>
  </w:num>
  <w:num w:numId="27">
    <w:abstractNumId w:val="5067"/>
  </w:num>
  <w:num w:numId="28">
    <w:abstractNumId w:val="5068"/>
  </w:num>
  <w:num w:numId="29">
    <w:abstractNumId w:val="5069"/>
  </w:num>
  <w:num w:numId="30">
    <w:abstractNumId w:val="5070"/>
  </w:num>
  <w:num w:numId="31">
    <w:abstractNumId w:val="5071"/>
  </w:num>
  <w:num w:numId="32">
    <w:abstractNumId w:val="5072"/>
  </w:num>
  <w:num w:numId="33">
    <w:abstractNumId w:val="5073"/>
  </w:num>
  <w:num w:numId="34">
    <w:abstractNumId w:val="5074"/>
  </w:num>
  <w:num w:numId="35">
    <w:abstractNumId w:val="5075"/>
  </w:num>
  <w:num w:numId="36">
    <w:abstractNumId w:val="5076"/>
  </w:num>
  <w:num w:numId="37">
    <w:abstractNumId w:val="5077"/>
  </w:num>
  <w:num w:numId="38">
    <w:abstractNumId w:val="5078"/>
  </w:num>
  <w:num w:numId="39">
    <w:abstractNumId w:val="5079"/>
  </w:num>
  <w:num w:numId="40">
    <w:abstractNumId w:val="5080"/>
  </w:num>
  <w:num w:numId="41">
    <w:abstractNumId w:val="5081"/>
  </w:num>
  <w:num w:numId="42">
    <w:abstractNumId w:val="5082"/>
  </w:num>
  <w:num w:numId="43">
    <w:abstractNumId w:val="5083"/>
  </w:num>
  <w:num w:numId="44">
    <w:abstractNumId w:val="5084"/>
  </w:num>
  <w:num w:numId="45">
    <w:abstractNumId w:val="5085"/>
  </w:num>
  <w:num w:numId="46">
    <w:abstractNumId w:val="5086"/>
  </w:num>
  <w:num w:numId="47">
    <w:abstractNumId w:val="5087"/>
  </w:num>
  <w:num w:numId="48">
    <w:abstractNumId w:val="5088"/>
  </w:num>
  <w:num w:numId="49">
    <w:abstractNumId w:val="5089"/>
  </w:num>
  <w:num w:numId="50">
    <w:abstractNumId w:val="509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2026-02-27T03:42:26Z</dcterms:created>
  <dc:creator>Apache POI</dc:creator>
</cp:coreProperties>
</file>