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Calibri" w:hAnsi="Calibri"/>
          <w:color w:val="10233F"/>
          <w:sz w:val="56"/>
        </w:rPr>
        <w:t>QUOTATION</w:t>
      </w:r>
    </w:p>
    <w:p>
      <w:pPr>
        <w:spacing w:after="240"/>
      </w:pPr>
      <w:r>
        <w:rPr>
          <w:rFonts w:ascii="Calibri" w:hAnsi="Calibri"/>
          <w:b w:val="0"/>
          <w:color w:val="64748B"/>
          <w:sz w:val="20"/>
        </w:rPr>
        <w:t>Project Development Proposal</w:t>
      </w:r>
    </w:p>
    <w:p>
      <w:pPr>
        <w:spacing w:after="80"/>
      </w:pPr>
      <w:r>
        <w:rPr>
          <w:rFonts w:ascii="Calibri" w:hAnsi="Calibri"/>
          <w:b/>
          <w:color w:val="10233F"/>
          <w:sz w:val="20"/>
        </w:rPr>
        <w:t xml:space="preserve">Quote #: </w:t>
      </w:r>
      <w:r>
        <w:rPr>
          <w:rFonts w:ascii="Calibri" w:hAnsi="Calibri"/>
          <w:sz w:val="20"/>
        </w:rPr>
        <w:t>QT-260327-KWK-001</w:t>
        <w:br/>
      </w:r>
      <w:r>
        <w:rPr>
          <w:rFonts w:ascii="Calibri" w:hAnsi="Calibri"/>
          <w:b/>
          <w:color w:val="10233F"/>
          <w:sz w:val="20"/>
        </w:rPr>
        <w:t xml:space="preserve">Date: </w:t>
      </w:r>
      <w:r>
        <w:rPr>
          <w:rFonts w:ascii="Calibri" w:hAnsi="Calibri"/>
          <w:sz w:val="20"/>
        </w:rPr>
        <w:t>March 27, 2026</w:t>
        <w:br/>
      </w:r>
      <w:r>
        <w:rPr>
          <w:rFonts w:ascii="Calibri" w:hAnsi="Calibri"/>
          <w:b/>
          <w:color w:val="10233F"/>
          <w:sz w:val="20"/>
        </w:rPr>
        <w:t xml:space="preserve">Validity: </w:t>
      </w:r>
      <w:r>
        <w:rPr>
          <w:rFonts w:ascii="Calibri" w:hAnsi="Calibri"/>
          <w:sz w:val="20"/>
        </w:rPr>
        <w:t>Valid until April 10, 2026 (14 days)</w:t>
        <w:br/>
      </w:r>
    </w:p>
    <w:p>
      <w:pPr>
        <w:spacing w:before="80" w:after="240"/>
      </w:pPr>
      <w:r>
        <w:rPr>
          <w:color w:val="10233F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color w:val="64748B"/>
                <w:sz w:val="16"/>
              </w:rPr>
              <w:t>FROM</w:t>
              <w:br/>
            </w:r>
            <w:r>
              <w:rPr>
                <w:rFonts w:ascii="Calibri" w:hAnsi="Calibri"/>
                <w:b/>
                <w:color w:val="10233F"/>
                <w:sz w:val="26"/>
              </w:rPr>
              <w:t>Mahmud Asrul</w:t>
              <w:br/>
            </w:r>
            <w:r>
              <w:rPr>
                <w:rFonts w:ascii="Calibri" w:hAnsi="Calibri"/>
                <w:sz w:val="18"/>
              </w:rPr>
              <w:t>NIK: 7371141104030002</w:t>
              <w:br/>
            </w:r>
            <w:r>
              <w:rPr>
                <w:rFonts w:ascii="Calibri" w:hAnsi="Calibri"/>
                <w:sz w:val="18"/>
              </w:rPr>
              <w:t>Product Engineer (Freelance)</w:t>
              <w:br/>
            </w:r>
            <w:r>
              <w:rPr>
                <w:rFonts w:ascii="Calibri" w:hAnsi="Calibri"/>
                <w:sz w:val="18"/>
              </w:rPr>
              <w:t>Full-Stack Development &amp; AI Pipeline Architecture</w:t>
              <w:br/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color w:val="64748B"/>
                <w:sz w:val="16"/>
              </w:rPr>
              <w:t>BILL TO</w:t>
              <w:br/>
            </w:r>
            <w:r>
              <w:rPr>
                <w:rFonts w:ascii="Calibri" w:hAnsi="Calibri"/>
                <w:b/>
                <w:color w:val="10233F"/>
                <w:sz w:val="26"/>
              </w:rPr>
              <w:t>Vinny Wardhani</w:t>
              <w:br/>
            </w:r>
            <w:r>
              <w:rPr>
                <w:rFonts w:ascii="Calibri" w:hAnsi="Calibri"/>
                <w:sz w:val="18"/>
              </w:rPr>
              <w:t>Kraftworks Career Hub</w:t>
              <w:br/>
            </w:r>
            <w:r>
              <w:rPr>
                <w:rFonts w:ascii="Calibri" w:hAnsi="Calibri"/>
                <w:sz w:val="18"/>
              </w:rPr>
              <w:t>Project Stakeholder</w:t>
              <w:br/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F5EFF"/>
        </w:rPr>
        <w:t>Project Overview</w:t>
      </w:r>
    </w:p>
    <w:p>
      <w:pPr>
        <w:spacing w:after="40"/>
      </w:pPr>
      <w:r>
        <w:rPr>
          <w:rFonts w:ascii="Calibri" w:hAnsi="Calibri"/>
          <w:b/>
          <w:color w:val="10233F"/>
          <w:sz w:val="20"/>
        </w:rPr>
        <w:t xml:space="preserve">Project Name: </w:t>
      </w:r>
      <w:r>
        <w:rPr>
          <w:rFonts w:ascii="Calibri" w:hAnsi="Calibri"/>
          <w:sz w:val="20"/>
        </w:rPr>
        <w:t>Kraftworks Career Hub — Backend Migration &amp; AI Pipeline Development</w:t>
      </w:r>
    </w:p>
    <w:p>
      <w:pPr>
        <w:spacing w:after="40"/>
      </w:pPr>
      <w:r>
        <w:rPr>
          <w:rFonts w:ascii="Calibri" w:hAnsi="Calibri"/>
          <w:b/>
          <w:color w:val="10233F"/>
          <w:sz w:val="20"/>
        </w:rPr>
        <w:t xml:space="preserve">Description: </w:t>
      </w:r>
      <w:r>
        <w:rPr>
          <w:rFonts w:ascii="Calibri" w:hAnsi="Calibri"/>
          <w:sz w:val="20"/>
        </w:rPr>
        <w:t>Backend architecture development on Cloudflare (D1 + Workers + Workflows + R2) with Clerk authentication webhooks, OpenRouter AI pipeline integration, and Resend email delivery. Backend-only scope — frontend integration and product management deliverables provided separately.</w:t>
      </w:r>
    </w:p>
    <w:p>
      <w:pPr>
        <w:spacing w:after="40"/>
      </w:pPr>
      <w:r>
        <w:rPr>
          <w:rFonts w:ascii="Calibri" w:hAnsi="Calibri"/>
          <w:b/>
          <w:color w:val="10233F"/>
          <w:sz w:val="20"/>
        </w:rPr>
        <w:t xml:space="preserve">Scope: </w:t>
      </w:r>
      <w:r>
        <w:rPr>
          <w:rFonts w:ascii="Calibri" w:hAnsi="Calibri"/>
          <w:sz w:val="20"/>
        </w:rPr>
        <w:t>Backend track: 40 story points — 12 D1 tables, 2 AI Workflows, 7 service integrations (Clerk, D1, R2, Workers, Workflows, OpenRouter, Resend)</w:t>
      </w:r>
    </w:p>
    <w:p>
      <w:pPr>
        <w:spacing w:after="40"/>
      </w:pPr>
      <w:r>
        <w:rPr>
          <w:rFonts w:ascii="Calibri" w:hAnsi="Calibri"/>
          <w:b/>
          <w:color w:val="10233F"/>
          <w:sz w:val="20"/>
        </w:rPr>
        <w:t xml:space="preserve">Timeline: </w:t>
      </w:r>
      <w:r>
        <w:rPr>
          <w:rFonts w:ascii="Calibri" w:hAnsi="Calibri"/>
          <w:sz w:val="20"/>
        </w:rPr>
        <w:t>5 working days (1 week at 4 hours/day)</w:t>
      </w:r>
    </w:p>
    <w:p/>
    <w:p>
      <w:pPr>
        <w:pStyle w:val="Heading2"/>
      </w:pPr>
      <w:r>
        <w:rPr>
          <w:rFonts w:ascii="Calibri" w:hAnsi="Calibri"/>
          <w:color w:val="1F5EFF"/>
        </w:rPr>
        <w:t>Deliverables</w:t>
      </w:r>
    </w:p>
    <w:p>
      <w:pPr>
        <w:spacing w:after="80"/>
      </w:pPr>
      <w:r>
        <w:rPr>
          <w:rFonts w:ascii="Calibri" w:hAnsi="Calibri"/>
          <w:b/>
          <w:color w:val="1E293B"/>
          <w:sz w:val="20"/>
        </w:rPr>
        <w:t>A. Product Management &amp; Design Deliverables (provided at no charge)</w:t>
      </w:r>
    </w:p>
    <w:p>
      <w:pPr>
        <w:pStyle w:val="ListNumber"/>
      </w:pPr>
      <w:r>
        <w:rPr>
          <w:rFonts w:ascii="Calibri" w:hAnsi="Calibri"/>
          <w:sz w:val="18"/>
        </w:rPr>
        <w:t>Product Requirements Document (PRD) — Full backend proposal with technology rationale, request lifecycle, AI methodology framework.</w:t>
      </w:r>
    </w:p>
    <w:p>
      <w:pPr>
        <w:pStyle w:val="ListNumber"/>
      </w:pPr>
      <w:r>
        <w:rPr>
          <w:rFonts w:ascii="Calibri" w:hAnsi="Calibri"/>
          <w:sz w:val="18"/>
        </w:rPr>
        <w:t>Entity Relationship Diagram (ERD) — 12-entity data model with lifecycle policies and interaction models.</w:t>
      </w:r>
    </w:p>
    <w:p>
      <w:pPr>
        <w:pStyle w:val="ListNumber"/>
      </w:pPr>
      <w:r>
        <w:rPr>
          <w:rFonts w:ascii="Calibri" w:hAnsi="Calibri"/>
          <w:sz w:val="18"/>
        </w:rPr>
        <w:t>UX Flow Comparison — 17-route current vs. proposed user journey analysis.</w:t>
      </w:r>
    </w:p>
    <w:p>
      <w:pPr>
        <w:pStyle w:val="ListNumber"/>
      </w:pPr>
      <w:r>
        <w:rPr>
          <w:rFonts w:ascii="Calibri" w:hAnsi="Calibri"/>
          <w:sz w:val="18"/>
        </w:rPr>
        <w:t>Backend Architecture Design — Before &amp; After architecture mapping with service selection rationale.</w:t>
      </w:r>
    </w:p>
    <w:p>
      <w:pPr>
        <w:spacing w:after="80"/>
      </w:pPr>
      <w:r>
        <w:rPr>
          <w:rFonts w:ascii="Calibri" w:hAnsi="Calibri"/>
          <w:b/>
          <w:color w:val="1E293B"/>
          <w:sz w:val="20"/>
        </w:rPr>
        <w:t>B. Development Deliverables</w:t>
      </w:r>
    </w:p>
    <w:p>
      <w:pPr>
        <w:pStyle w:val="ListNumber"/>
      </w:pPr>
      <w:r>
        <w:rPr>
          <w:rFonts w:ascii="Calibri" w:hAnsi="Calibri"/>
          <w:sz w:val="18"/>
        </w:rPr>
        <w:t>Cloudflare D1 Database — Full schema with 12 tables, migrations, indexes, and constraints.</w:t>
      </w:r>
    </w:p>
    <w:p>
      <w:pPr>
        <w:pStyle w:val="ListNumber"/>
      </w:pPr>
      <w:r>
        <w:rPr>
          <w:rFonts w:ascii="Calibri" w:hAnsi="Calibri"/>
          <w:sz w:val="18"/>
        </w:rPr>
        <w:t>Cloudflare R2 Storage — Resume PDF storage with user-scoped access.</w:t>
      </w:r>
    </w:p>
    <w:p>
      <w:pPr>
        <w:pStyle w:val="ListNumber"/>
      </w:pPr>
      <w:r>
        <w:rPr>
          <w:rFonts w:ascii="Calibri" w:hAnsi="Calibri"/>
          <w:sz w:val="18"/>
        </w:rPr>
        <w:t>Clerk Authentication — Webhook user sync, JWT middleware, role-based access control.</w:t>
      </w:r>
    </w:p>
    <w:p>
      <w:pPr>
        <w:pStyle w:val="ListNumber"/>
      </w:pPr>
      <w:r>
        <w:rPr>
          <w:rFonts w:ascii="Calibri" w:hAnsi="Calibri"/>
          <w:sz w:val="18"/>
        </w:rPr>
        <w:t>AI Resume Feedback Workflow — 6-step durable Cloudflare Workflow with OpenRouter inference.</w:t>
      </w:r>
    </w:p>
    <w:p>
      <w:pPr>
        <w:pStyle w:val="ListNumber"/>
      </w:pPr>
      <w:r>
        <w:rPr>
          <w:rFonts w:ascii="Calibri" w:hAnsi="Calibri"/>
          <w:sz w:val="18"/>
        </w:rPr>
        <w:t>AI Interview Prep Workflow — Categorized question generation with quota enforcement.</w:t>
      </w:r>
    </w:p>
    <w:p>
      <w:pPr>
        <w:pStyle w:val="ListNumber"/>
      </w:pPr>
      <w:r>
        <w:rPr>
          <w:rFonts w:ascii="Calibri" w:hAnsi="Calibri"/>
          <w:sz w:val="18"/>
        </w:rPr>
        <w:t>Admin Panel Backend — Feedback review, waitlist management, CSV export, audit logging.</w:t>
      </w:r>
    </w:p>
    <w:p>
      <w:pPr>
        <w:pStyle w:val="ListNumber"/>
      </w:pPr>
      <w:r>
        <w:rPr>
          <w:rFonts w:ascii="Calibri" w:hAnsi="Calibri"/>
          <w:sz w:val="18"/>
        </w:rPr>
        <w:t>Waitlist &amp; Contact Workers — Public form processing with email confirmation.</w:t>
      </w:r>
    </w:p>
    <w:p>
      <w:pPr>
        <w:pStyle w:val="ListNumber"/>
      </w:pPr>
      <w:r>
        <w:rPr>
          <w:rFonts w:ascii="Calibri" w:hAnsi="Calibri"/>
          <w:sz w:val="18"/>
        </w:rPr>
        <w:t>Resend Email System — Transactional email with SPF/DKIM/DMARC, 3 templates.</w:t>
      </w:r>
    </w:p>
    <w:p>
      <w:pPr>
        <w:pStyle w:val="ListNumber"/>
      </w:pPr>
      <w:r>
        <w:rPr>
          <w:rFonts w:ascii="Calibri" w:hAnsi="Calibri"/>
          <w:sz w:val="18"/>
        </w:rPr>
        <w:t>Frontend API Integration — All React hooks rewired from Supabase to Worker endpoints.</w:t>
      </w:r>
    </w:p>
    <w:p>
      <w:pPr>
        <w:pStyle w:val="ListNumber"/>
      </w:pPr>
      <w:r>
        <w:rPr>
          <w:rFonts w:ascii="Calibri" w:hAnsi="Calibri"/>
          <w:sz w:val="18"/>
        </w:rPr>
        <w:t>End-to-End Integration Testing — Full flow verification for all 9 epics.</w:t>
      </w:r>
    </w:p>
    <w:p/>
    <w:p>
      <w:pPr>
        <w:pStyle w:val="Heading2"/>
      </w:pPr>
      <w:r>
        <w:rPr>
          <w:rFonts w:ascii="Calibri" w:hAnsi="Calibri"/>
          <w:color w:val="1F5EFF"/>
        </w:rPr>
        <w:t>Cost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4608"/>
            <w:shd w:val="clear" w:color="auto" w:fill="10233F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Item Description</w:t>
            </w:r>
          </w:p>
        </w:tc>
        <w:tc>
          <w:tcPr>
            <w:tcW w:type="dxa" w:w="1440"/>
            <w:shd w:val="clear" w:color="auto" w:fill="10233F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Story Points</w:t>
            </w:r>
          </w:p>
        </w:tc>
        <w:tc>
          <w:tcPr>
            <w:tcW w:type="dxa" w:w="864"/>
            <w:shd w:val="clear" w:color="auto" w:fill="10233F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Days</w:t>
            </w:r>
          </w:p>
        </w:tc>
        <w:tc>
          <w:tcPr>
            <w:tcW w:type="dxa" w:w="2016"/>
            <w:shd w:val="clear" w:color="auto" w:fill="10233F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Amount (IDR)</w:t>
            </w:r>
          </w:p>
        </w:tc>
      </w:tr>
      <w:tr>
        <w:tc>
          <w:tcPr>
            <w:tcW w:type="dxa" w:w="4608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18"/>
              </w:rPr>
              <w:t>Backend Development</w:t>
              <w:br/>
              <w:t>D1 schema, Workers, Workflows, R2, Clerk webhooks, OpenRouter AI pipelines, Resend integration, Admin APIs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E293B"/>
                <w:sz w:val="18"/>
              </w:rPr>
              <w:t>40 SP</w:t>
            </w:r>
          </w:p>
        </w:tc>
        <w:tc>
          <w:tcPr>
            <w:tcW w:type="dxa" w:w="86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E293B"/>
                <w:sz w:val="18"/>
              </w:rPr>
              <w:t>5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18"/>
              </w:rPr>
              <w:t>Rp 9,780,000</w:t>
            </w:r>
          </w:p>
        </w:tc>
      </w:tr>
      <w:tr>
        <w:tc>
          <w:tcPr>
            <w:tcW w:type="dxa" w:w="4608"/>
            <w:shd w:val="clear" w:color="auto" w:fill="F8FAFC"/>
          </w:tcPr>
          <w:p>
            <w:pPr>
              <w:spacing w:before="40" w:after="40"/>
            </w:pPr>
            <w:r/>
            <w:r>
              <w:rPr>
                <w:rFonts w:ascii="Calibri" w:hAnsi="Calibri"/>
                <w:strike/>
                <w:color w:val="64748B"/>
                <w:sz w:val="18"/>
              </w:rPr>
              <w:t>Frontend Integration  [EXCLUDED]</w:t>
              <w:br/>
              <w:t>Clerk UI components, API hook rewiring, state management updates</w:t>
            </w:r>
          </w:p>
        </w:tc>
        <w:tc>
          <w:tcPr>
            <w:tcW w:type="dxa" w:w="1440"/>
            <w:shd w:val="clear" w:color="auto" w:fill="F8FAFC"/>
          </w:tcPr>
          <w:p>
            <w:pPr>
              <w:spacing w:before="40" w:after="40"/>
            </w:pPr>
            <w:r/>
            <w:r>
              <w:rPr>
                <w:rFonts w:ascii="Calibri" w:hAnsi="Calibri"/>
                <w:strike/>
                <w:color w:val="64748B"/>
                <w:sz w:val="18"/>
              </w:rPr>
              <w:t>25 SP</w:t>
            </w:r>
          </w:p>
        </w:tc>
        <w:tc>
          <w:tcPr>
            <w:tcW w:type="dxa" w:w="864"/>
            <w:shd w:val="clear" w:color="auto" w:fill="F8FAFC"/>
          </w:tcPr>
          <w:p>
            <w:pPr>
              <w:spacing w:before="40" w:after="40"/>
            </w:pPr>
            <w:r/>
            <w:r>
              <w:rPr>
                <w:rFonts w:ascii="Calibri" w:hAnsi="Calibri"/>
                <w:strike/>
                <w:color w:val="64748B"/>
                <w:sz w:val="18"/>
              </w:rPr>
              <w:t>4</w:t>
            </w:r>
          </w:p>
        </w:tc>
        <w:tc>
          <w:tcPr>
            <w:tcW w:type="dxa" w:w="2016"/>
            <w:shd w:val="clear" w:color="auto" w:fill="F8FAFC"/>
          </w:tcPr>
          <w:p>
            <w:pPr>
              <w:spacing w:before="40" w:after="40"/>
            </w:pPr>
            <w:r/>
            <w:r>
              <w:rPr>
                <w:rFonts w:ascii="Calibri" w:hAnsi="Calibri"/>
                <w:strike/>
                <w:color w:val="64748B"/>
                <w:sz w:val="18"/>
              </w:rPr>
              <w:t>Rp 7,824,000</w:t>
            </w:r>
          </w:p>
        </w:tc>
      </w:tr>
      <w:tr>
        <w:tc>
          <w:tcPr>
            <w:tcW w:type="dxa" w:w="4608"/>
          </w:tcPr>
          <w:p>
            <w:pPr>
              <w:spacing w:before="40" w:after="40"/>
            </w:pPr>
            <w:r/>
            <w:r>
              <w:rPr>
                <w:rFonts w:ascii="Calibri" w:hAnsi="Calibri"/>
                <w:strike/>
                <w:color w:val="64748B"/>
                <w:sz w:val="18"/>
              </w:rPr>
              <w:t>Integration Testing  [EXCLUDED]</w:t>
              <w:br/>
              <w:t>End-to-end flow verification, edge case validation, deployment testing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Calibri" w:hAnsi="Calibri"/>
                <w:strike/>
                <w:color w:val="64748B"/>
                <w:sz w:val="18"/>
              </w:rPr>
              <w:t>22 SP</w:t>
            </w:r>
          </w:p>
        </w:tc>
        <w:tc>
          <w:tcPr>
            <w:tcW w:type="dxa" w:w="864"/>
          </w:tcPr>
          <w:p>
            <w:pPr>
              <w:spacing w:before="40" w:after="40"/>
            </w:pPr>
            <w:r/>
            <w:r>
              <w:rPr>
                <w:rFonts w:ascii="Calibri" w:hAnsi="Calibri"/>
                <w:strike/>
                <w:color w:val="64748B"/>
                <w:sz w:val="18"/>
              </w:rPr>
              <w:t>3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Calibri" w:hAnsi="Calibri"/>
                <w:strike/>
                <w:color w:val="64748B"/>
                <w:sz w:val="18"/>
              </w:rPr>
              <w:t>Rp 5,868,000</w:t>
            </w:r>
          </w:p>
        </w:tc>
      </w:tr>
      <w:tr>
        <w:tc>
          <w:tcPr>
            <w:tcW w:type="dxa" w:w="4608"/>
            <w:shd w:val="clear" w:color="auto" w:fill="F8FAFC"/>
          </w:tcPr>
          <w:p>
            <w:pPr>
              <w:spacing w:before="40" w:after="40"/>
            </w:pPr>
            <w:r/>
            <w:r>
              <w:rPr>
                <w:rFonts w:ascii="Calibri" w:hAnsi="Calibri"/>
                <w:strike/>
                <w:color w:val="64748B"/>
                <w:sz w:val="18"/>
              </w:rPr>
              <w:t>Management / PM Deliverables (20%)  [EXCLUDED]</w:t>
              <w:br/>
              <w:t>PRD, ERD, UX Flow, Architecture Design — provided at no charge</w:t>
            </w:r>
          </w:p>
        </w:tc>
        <w:tc>
          <w:tcPr>
            <w:tcW w:type="dxa" w:w="1440"/>
            <w:shd w:val="clear" w:color="auto" w:fill="F8FAFC"/>
          </w:tcPr>
          <w:p>
            <w:pPr>
              <w:spacing w:before="40" w:after="40"/>
            </w:pPr>
            <w:r/>
            <w:r>
              <w:rPr>
                <w:rFonts w:ascii="Calibri" w:hAnsi="Calibri"/>
                <w:strike/>
                <w:color w:val="64748B"/>
                <w:sz w:val="18"/>
              </w:rPr>
              <w:t>—</w:t>
            </w:r>
          </w:p>
        </w:tc>
        <w:tc>
          <w:tcPr>
            <w:tcW w:type="dxa" w:w="864"/>
            <w:shd w:val="clear" w:color="auto" w:fill="F8FAFC"/>
          </w:tcPr>
          <w:p>
            <w:pPr>
              <w:spacing w:before="40" w:after="40"/>
            </w:pPr>
            <w:r/>
            <w:r>
              <w:rPr>
                <w:rFonts w:ascii="Calibri" w:hAnsi="Calibri"/>
                <w:strike/>
                <w:color w:val="64748B"/>
                <w:sz w:val="18"/>
              </w:rPr>
              <w:t>—</w:t>
            </w:r>
          </w:p>
        </w:tc>
        <w:tc>
          <w:tcPr>
            <w:tcW w:type="dxa" w:w="2016"/>
            <w:shd w:val="clear" w:color="auto" w:fill="F8FAFC"/>
          </w:tcPr>
          <w:p>
            <w:pPr>
              <w:spacing w:before="40" w:after="40"/>
            </w:pPr>
            <w:r/>
            <w:r>
              <w:rPr>
                <w:rFonts w:ascii="Calibri" w:hAnsi="Calibri"/>
                <w:strike/>
                <w:color w:val="64748B"/>
                <w:sz w:val="18"/>
              </w:rPr>
              <w:t>Rp 4,694,400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Billed Scope: Backend Development Only</w:t>
            </w:r>
          </w:p>
        </w:tc>
        <w:tc>
          <w:tcPr>
            <w:tcW w:type="dxa" w:w="4703"/>
          </w:tcPr>
          <w:p>
            <w:pPr>
              <w:spacing w:before="40" w:after="40"/>
              <w:jc w:val="right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Rp 9,780,000</w:t>
            </w:r>
          </w:p>
        </w:tc>
      </w:tr>
      <w:tr>
        <w:tc>
          <w:tcPr>
            <w:tcW w:type="dxa" w:w="4703"/>
            <w:shd w:val="clear" w:color="auto" w:fill="10233F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4"/>
              </w:rPr>
              <w:t>GRAND TOTAL</w:t>
            </w:r>
          </w:p>
        </w:tc>
        <w:tc>
          <w:tcPr>
            <w:tcW w:type="dxa" w:w="4703"/>
            <w:shd w:val="clear" w:color="auto" w:fill="10233F"/>
          </w:tcPr>
          <w:p>
            <w:pPr>
              <w:spacing w:before="40" w:after="40"/>
              <w:jc w:val="right"/>
            </w:pPr>
            <w:r/>
            <w:r>
              <w:rPr>
                <w:rFonts w:ascii="Calibri" w:hAnsi="Calibri"/>
                <w:b/>
                <w:color w:val="FFFFFF"/>
                <w:sz w:val="24"/>
              </w:rPr>
              <w:t>Rp 9,780,000</w:t>
            </w:r>
          </w:p>
        </w:tc>
      </w:tr>
    </w:tbl>
    <w:p>
      <w:pPr>
        <w:spacing w:after="240"/>
      </w:pPr>
      <w:r>
        <w:rPr>
          <w:rFonts w:ascii="Calibri" w:hAnsi="Calibri"/>
          <w:b w:val="0"/>
          <w:color w:val="64748B"/>
          <w:sz w:val="16"/>
        </w:rPr>
        <w:t>Rate basis: $30 USD/hour × 4 hours/day = $120 USD/day (Rp 1,956,000/day at Rp 16,300/USD). 1 engineer, 8 SP/day.</w:t>
      </w:r>
    </w:p>
    <w:p/>
    <w:p>
      <w:pPr>
        <w:pStyle w:val="Heading2"/>
      </w:pPr>
      <w:r>
        <w:rPr>
          <w:rFonts w:ascii="Calibri" w:hAnsi="Calibri"/>
          <w:color w:val="0F766E"/>
        </w:rPr>
        <w:t>Payment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68"/>
            <w:shd w:val="clear" w:color="auto" w:fill="10233F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Term</w:t>
            </w:r>
          </w:p>
        </w:tc>
        <w:tc>
          <w:tcPr>
            <w:tcW w:type="dxa" w:w="3168"/>
            <w:shd w:val="clear" w:color="auto" w:fill="10233F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Condition</w:t>
            </w:r>
          </w:p>
        </w:tc>
        <w:tc>
          <w:tcPr>
            <w:tcW w:type="dxa" w:w="2304"/>
            <w:shd w:val="clear" w:color="auto" w:fill="10233F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Amount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18"/>
              </w:rPr>
              <w:t>Term 1 — Down Payment (50%)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E293B"/>
                <w:sz w:val="18"/>
              </w:rPr>
              <w:t>Due upon project kickoff / signing</w:t>
            </w:r>
          </w:p>
        </w:tc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18"/>
              </w:rPr>
              <w:t>Rp 4,890,000</w:t>
            </w:r>
          </w:p>
        </w:tc>
      </w:tr>
      <w:tr>
        <w:tc>
          <w:tcPr>
            <w:tcW w:type="dxa" w:w="3168"/>
            <w:shd w:val="clear" w:color="auto" w:fill="F8FAFC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18"/>
              </w:rPr>
              <w:t>Term 2 — Final Delivery (50%)</w:t>
            </w:r>
          </w:p>
        </w:tc>
        <w:tc>
          <w:tcPr>
            <w:tcW w:type="dxa" w:w="3168"/>
            <w:shd w:val="clear" w:color="auto" w:fill="F8FAFC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E293B"/>
                <w:sz w:val="18"/>
              </w:rPr>
              <w:t>Due upon UAT sign-off / handover</w:t>
            </w:r>
          </w:p>
        </w:tc>
        <w:tc>
          <w:tcPr>
            <w:tcW w:type="dxa" w:w="2304"/>
            <w:shd w:val="clear" w:color="auto" w:fill="F8FAFC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18"/>
              </w:rPr>
              <w:t>Rp 4,890,000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F766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TOTAL</w:t>
            </w:r>
          </w:p>
        </w:tc>
        <w:tc>
          <w:tcPr>
            <w:tcW w:type="dxa" w:w="4703"/>
            <w:shd w:val="clear" w:color="auto" w:fill="0F766E"/>
          </w:tcPr>
          <w:p>
            <w:pPr>
              <w:spacing w:before="40" w:after="40"/>
              <w:jc w:val="right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Rp 9,780,000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F5EFF"/>
        </w:rPr>
        <w:t>Payment Method</w:t>
      </w:r>
    </w:p>
    <w:p>
      <w:pPr>
        <w:spacing w:after="40"/>
      </w:pPr>
      <w:r>
        <w:rPr>
          <w:rFonts w:ascii="Calibri" w:hAnsi="Calibri"/>
          <w:b/>
          <w:color w:val="10233F"/>
          <w:sz w:val="20"/>
        </w:rPr>
        <w:t xml:space="preserve">Bank: </w:t>
      </w:r>
      <w:r>
        <w:rPr>
          <w:rFonts w:ascii="Calibri" w:hAnsi="Calibri"/>
          <w:sz w:val="20"/>
        </w:rPr>
        <w:t>Bank Jago</w:t>
      </w:r>
    </w:p>
    <w:p>
      <w:pPr>
        <w:spacing w:after="40"/>
      </w:pPr>
      <w:r>
        <w:rPr>
          <w:rFonts w:ascii="Calibri" w:hAnsi="Calibri"/>
          <w:b/>
          <w:color w:val="10233F"/>
          <w:sz w:val="20"/>
        </w:rPr>
        <w:t xml:space="preserve">Account Number: </w:t>
      </w:r>
      <w:r>
        <w:rPr>
          <w:rFonts w:ascii="Calibri" w:hAnsi="Calibri"/>
          <w:b/>
          <w:sz w:val="20"/>
        </w:rPr>
        <w:t>1052 8364 5712</w:t>
      </w:r>
    </w:p>
    <w:p>
      <w:pPr>
        <w:spacing w:after="40"/>
      </w:pPr>
      <w:r>
        <w:rPr>
          <w:rFonts w:ascii="Calibri" w:hAnsi="Calibri"/>
          <w:b/>
          <w:color w:val="10233F"/>
          <w:sz w:val="20"/>
        </w:rPr>
        <w:t xml:space="preserve">Account Holder: </w:t>
      </w:r>
      <w:r>
        <w:rPr>
          <w:rFonts w:ascii="Calibri" w:hAnsi="Calibri"/>
          <w:sz w:val="20"/>
        </w:rPr>
        <w:t>Mahmud Asrul</w:t>
      </w:r>
    </w:p>
    <w:p/>
    <w:p>
      <w:pPr>
        <w:pStyle w:val="Heading2"/>
      </w:pPr>
      <w:r>
        <w:rPr>
          <w:rFonts w:ascii="Calibri" w:hAnsi="Calibri"/>
          <w:color w:val="B7791F"/>
        </w:rPr>
        <w:t>Tax Information (PPN / PPh)</w:t>
      </w:r>
    </w:p>
    <w:p>
      <w:pPr>
        <w:spacing w:after="240"/>
      </w:pPr>
      <w:r>
        <w:rPr>
          <w:rFonts w:ascii="Calibri" w:hAnsi="Calibri"/>
          <w:b w:val="0"/>
          <w:color w:val="1E293B"/>
          <w:sz w:val="18"/>
        </w:rPr>
        <w:t>This quotation does not include PPN (Pajak Pertambahan Nilai / VAT). As an individual service provider with annual revenue below the PKP (Pengusaha Kena Pajak) threshold of Rp 4.8 billion, PPN at 12% is not obligated to be charged.</w:t>
        <w:br/>
        <w:br/>
        <w:t>Income tax obligations (PPh 21 for individual service providers) are the responsibility of the service provider per applicable Indonesian tax regulations (PP 58/2023). If the client requires PPN inclusion or a Faktur Pajak for accounting/tax deduction purposes, the total will be adjusted to include the applicable 12% PPN, and this can be discussed prior to signing.</w:t>
      </w:r>
    </w:p>
    <w:p>
      <w:pPr>
        <w:pStyle w:val="Heading2"/>
      </w:pPr>
      <w:r>
        <w:rPr>
          <w:rFonts w:ascii="Calibri" w:hAnsi="Calibri"/>
          <w:color w:val="10233F"/>
        </w:rPr>
        <w:t>Notes &amp; Terms</w:t>
      </w:r>
    </w:p>
    <w:p>
      <w:pPr>
        <w:spacing w:after="80"/>
      </w:pPr>
      <w:r>
        <w:rPr>
          <w:rFonts w:ascii="Calibri" w:hAnsi="Calibri"/>
          <w:sz w:val="18"/>
        </w:rPr>
        <w:t>1. This quotation covers backend development only (40 story points). Frontend integration, end-to-end testing, and product management deliverables are excluded from this billing scope and shown as struck-through line items for transparency.</w:t>
      </w:r>
    </w:p>
    <w:p>
      <w:pPr>
        <w:spacing w:after="80"/>
      </w:pPr>
      <w:r>
        <w:rPr>
          <w:rFonts w:ascii="Calibri" w:hAnsi="Calibri"/>
          <w:sz w:val="18"/>
        </w:rPr>
        <w:t>2. Development will commence immediately after the Term 1 Down Payment is received and confirmed.</w:t>
      </w:r>
    </w:p>
    <w:p>
      <w:pPr>
        <w:spacing w:after="80"/>
      </w:pPr>
      <w:r>
        <w:rPr>
          <w:rFonts w:ascii="Calibri" w:hAnsi="Calibri"/>
          <w:sz w:val="18"/>
        </w:rPr>
        <w:t>3. Any additional features, scope changes, or requirements outside the backend scope will be estimated separately and billed at the same hourly rate ($30 USD/hour).</w:t>
      </w:r>
    </w:p>
    <w:p>
      <w:pPr>
        <w:spacing w:after="80"/>
      </w:pPr>
      <w:r>
        <w:rPr>
          <w:rFonts w:ascii="Calibri" w:hAnsi="Calibri"/>
          <w:sz w:val="18"/>
        </w:rPr>
        <w:t>4. Estimated delivery timeline: 1 week (5 working days at 4 hours/day, Monday–Friday).</w:t>
      </w:r>
    </w:p>
    <w:p>
      <w:pPr>
        <w:spacing w:after="80"/>
      </w:pPr>
      <w:r>
        <w:rPr>
          <w:rFonts w:ascii="Calibri" w:hAnsi="Calibri"/>
          <w:sz w:val="18"/>
        </w:rPr>
        <w:t>5. Source code will be delivered via private Git repository. Full handover includes deployment configuration, environment setup documentation, and a walkthrough session.</w:t>
      </w:r>
    </w:p>
    <w:p>
      <w:pPr>
        <w:spacing w:after="80"/>
      </w:pPr>
      <w:r>
        <w:rPr>
          <w:rFonts w:ascii="Calibri" w:hAnsi="Calibri"/>
          <w:sz w:val="18"/>
        </w:rPr>
        <w:t>6. The quotation validity is 14 days from the issue date. After expiry, pricing may be subject to revision.</w:t>
      </w:r>
    </w:p>
    <w:p>
      <w:pPr>
        <w:spacing w:after="80"/>
      </w:pPr>
      <w:r>
        <w:rPr>
          <w:rFonts w:ascii="Calibri" w:hAnsi="Calibri"/>
          <w:sz w:val="18"/>
        </w:rPr>
        <w:t>7. Product management deliverables (PRD, ERD, UX Flow, Architecture Design) have been completed and provided as companion documents at no charge.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64748B"/>
                <w:sz w:val="16"/>
              </w:rPr>
              <w:t>SERVICE PROVIDER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64748B"/>
                <w:sz w:val="16"/>
              </w:rPr>
              <w:t>CLIENT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E293B"/>
                <w:sz w:val="18"/>
              </w:rPr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E293B"/>
                <w:sz w:val="18"/>
              </w:rPr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64748B"/>
                <w:sz w:val="18"/>
              </w:rPr>
              <w:t>________________________________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64748B"/>
                <w:sz w:val="18"/>
              </w:rPr>
              <w:t>________________________________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color w:val="10233F"/>
                <w:sz w:val="22"/>
              </w:rPr>
              <w:t>Mahmud Asrul</w:t>
              <w:br/>
            </w:r>
            <w:r>
              <w:rPr>
                <w:rFonts w:ascii="Calibri" w:hAnsi="Calibri"/>
                <w:color w:val="64748B"/>
                <w:sz w:val="18"/>
              </w:rPr>
              <w:t>Product Engineer</w:t>
              <w:br/>
              <w:t>NIK: 7371141104030002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color w:val="10233F"/>
                <w:sz w:val="22"/>
              </w:rPr>
              <w:t>Vinny Wardhani</w:t>
              <w:br/>
            </w:r>
            <w:r>
              <w:rPr>
                <w:rFonts w:ascii="Calibri" w:hAnsi="Calibri"/>
                <w:color w:val="64748B"/>
                <w:sz w:val="18"/>
              </w:rPr>
              <w:t>Kraftworks Career Hub</w:t>
              <w:br/>
              <w:t>Date: _______________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