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部门资料与公共资料使用规定（演示）</w:t>
      </w:r>
    </w:p>
    <w:p>
      <w:r>
        <w:t>本文为本地演示用虚构资料，不代表任何真实企业的制度、预算、人员或审批结论。金额、指标和日期只供检索引用演示。</w:t>
      </w:r>
    </w:p>
    <w:p>
      <w:r>
        <w:t>建议上传到：公共资料库。</w:t>
      </w:r>
    </w:p>
    <w:p>
      <w:pPr>
        <w:pStyle w:val="Heading1"/>
      </w:pPr>
      <w:r>
        <w:t>部门</w:t>
      </w:r>
    </w:p>
    <w:p>
      <w:r>
        <w:t>演示组织设三个部门：算法组、框架组、测试组。用户创建时必须选择其中一个部门。</w:t>
      </w:r>
    </w:p>
    <w:p>
      <w:pPr>
        <w:pStyle w:val="Heading1"/>
      </w:pPr>
      <w:r>
        <w:t>资料库</w:t>
      </w:r>
    </w:p>
    <w:p>
      <w:r>
        <w:t>上传时只能选择本部门或公共资料库，不能指定其他部门。文档列表和检索只能看到本部门资料以及公共资料库。</w:t>
      </w:r>
    </w:p>
    <w:p>
      <w:r>
        <w:t>制度、模板、跨部门历史项目和年度储备放入公共资料库。模型参数、接口实现细节和未公开缺陷放入本部门。</w:t>
      </w:r>
    </w:p>
    <w:p>
      <w:pPr>
        <w:pStyle w:val="Heading1"/>
      </w:pPr>
      <w:r>
        <w:t>相同内容</w:t>
      </w:r>
    </w:p>
    <w:p>
      <w:r>
        <w:t>同一份文件已经存在于其他部门资料库时，不允许换一个部门再次入库，也不向查询方返回那份文档的编号。</w:t>
      </w:r>
    </w:p>
    <w:p>
      <w:pPr>
        <w:pStyle w:val="Heading1"/>
      </w:pPr>
      <w:r>
        <w:t>工作流</w:t>
      </w:r>
    </w:p>
    <w:p>
      <w:r>
        <w:t>登录后启动的方案生成，检索范围与当前用户相同，只使用本部门和公共资料。其他部门不能查看、恢复或分叉该次运行。项目登记本身仍是共用的。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