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验收与待确认事项办法（演示）</w:t>
      </w:r>
    </w:p>
    <w:p>
      <w:r>
        <w:t>本文为本地演示用虚构资料，不代表任何真实企业的制度、预算、人员或审批结论。金额、指标和日期只供检索引用演示。</w:t>
      </w:r>
    </w:p>
    <w:p>
      <w:r>
        <w:t>建议上传到：公共资料库。</w:t>
      </w:r>
    </w:p>
    <w:p>
      <w:pPr>
        <w:pStyle w:val="Heading1"/>
      </w:pPr>
      <w:r>
        <w:t>交付物</w:t>
      </w:r>
    </w:p>
    <w:p>
      <w:r>
        <w:t>项目验收至少核对三类交付物：项目书、任务计划、测试记录。只有项目书没有任务计划的，不得标记为可验收。</w:t>
      </w:r>
    </w:p>
    <w:p>
      <w:pPr>
        <w:pStyle w:val="Heading1"/>
      </w:pPr>
      <w:r>
        <w:t>待确认</w:t>
      </w:r>
    </w:p>
    <w:p>
      <w:r>
        <w:t>证据不足、口径冲突或缺少批准文件的内容，保留原文并标注“待确认”。导出的 Word 和 Excel 不得删除这些内容。</w:t>
      </w:r>
    </w:p>
    <w:p>
      <w:r>
        <w:t>待确认事项关闭前，需要补充资料或由审核人明确选择采用哪一个口径。选择结果要记入审核意见。</w:t>
      </w:r>
    </w:p>
    <w:p>
      <w:pPr>
        <w:pStyle w:val="Heading1"/>
      </w:pPr>
      <w:r>
        <w:t>缺陷对验收的影响</w:t>
      </w:r>
    </w:p>
    <w:p>
      <w:r>
        <w:t>未关闭的严重缺陷阻止验收。一般缺陷可以带条件接收，但必须写入残余风险。轻微缺陷记入后续迭代，不单独阻止演示确认。</w:t>
      </w:r>
    </w:p>
    <w:p>
      <w:pPr>
        <w:pStyle w:val="Heading1"/>
      </w:pPr>
      <w:r>
        <w:t>演示确认</w:t>
      </w:r>
    </w:p>
    <w:p>
      <w:r>
        <w:t>本地审核通过后，产物状态为演示确认草稿。该状态不是正式发布，也不能作为对外承诺。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