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框架组服务发布与接口规范（演示）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建议上传到：框架组。</w:t>
      </w:r>
    </w:p>
    <w:p>
      <w:pPr>
        <w:pStyle w:val="Heading1"/>
      </w:pPr>
      <w:r>
        <w:t>接口清单</w:t>
      </w:r>
    </w:p>
    <w:p>
      <w:r>
        <w:t>对界面开放健康检查、登录、项目、文档上传与索引、检索、运行创建、事件、检查点、审核恢复、分叉、产物下载和文本比较。</w:t>
      </w:r>
    </w:p>
    <w:p>
      <w:pPr>
        <w:pStyle w:val="Heading1"/>
      </w:pPr>
      <w:r>
        <w:t>身份</w:t>
      </w:r>
    </w:p>
    <w:p>
      <w:r>
        <w:t>文档和检索必须登录。未带登录信息返回需要登录，不返回空列表冒充没有数据。令牌只保存摘要，密码保存慢哈希。</w:t>
      </w:r>
    </w:p>
    <w:p>
      <w:r>
        <w:t>这是本地演示账号，不是企业单点登录，也没有细粒度权限后台。</w:t>
      </w:r>
    </w:p>
    <w:p>
      <w:pPr>
        <w:pStyle w:val="Heading1"/>
      </w:pPr>
      <w:r>
        <w:t>运行标识</w:t>
      </w:r>
    </w:p>
    <w:p>
      <w:r>
        <w:t>业务运行编号和流程线程编号分开。一次业务可以有多个分支，每个分支使用新的线程编号。恢复必须使用原来的线程。</w:t>
      </w:r>
    </w:p>
    <w:p>
      <w:pPr>
        <w:pStyle w:val="Heading1"/>
      </w:pPr>
      <w:r>
        <w:t>错误</w:t>
      </w:r>
    </w:p>
    <w:p>
      <w:r>
        <w:t>看不到的文档和其他部门的运行，对外统一表现为不存在，避免用错误信息泄露资料归属。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