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移动办公门户改造项目书（演示）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建议上传到：框架组。</w:t>
      </w:r>
    </w:p>
    <w:p>
      <w:pPr>
        <w:pStyle w:val="Heading1"/>
      </w:pPr>
      <w:r>
        <w:t>项目背景</w:t>
      </w:r>
    </w:p>
    <w:p>
      <w:r>
        <w:t>门户改造计划于2025-04-01开始，2025-12-19结束。员工需要在移动端查看待办，现有门户只支持桌面浏览器。</w:t>
      </w:r>
    </w:p>
    <w:p>
      <w:pPr>
        <w:pStyle w:val="Heading1"/>
      </w:pPr>
      <w:r>
        <w:t>建设必要性</w:t>
      </w:r>
    </w:p>
    <w:p>
      <w:r>
        <w:t>2025年一季度抽查，外出人员平均延迟 2 个工作日处理待办。该数字来自框架组内部抽查 20 人，不能外推到全公司。</w:t>
      </w:r>
    </w:p>
    <w:p>
      <w:pPr>
        <w:pStyle w:val="Heading1"/>
      </w:pPr>
      <w:r>
        <w:t>目标</w:t>
      </w:r>
    </w:p>
    <w:p>
      <w:r>
        <w:t>提供待办列表、详情和通过或退回。不实现企业单点登录改造，登录仍使用现有演示方式。</w:t>
      </w:r>
    </w:p>
    <w:p>
      <w:pPr>
        <w:pStyle w:val="Heading1"/>
      </w:pPr>
      <w:r>
        <w:t>实施内容</w:t>
      </w:r>
    </w:p>
    <w:p>
      <w:r>
        <w:t>实施内容为待办查询、审批动作回写、移动端页面。明确不做消息推送到个人手机短信。</w:t>
      </w:r>
    </w:p>
    <w:p>
      <w:pPr>
        <w:pStyle w:val="Heading1"/>
      </w:pPr>
      <w:r>
        <w:t>技术路线</w:t>
      </w:r>
    </w:p>
    <w:p>
      <w:r>
        <w:t>沿用现有应用接口，新增移动页面。审批记录与桌面端使用同一套状态，避免两套待办不一致。</w:t>
      </w:r>
    </w:p>
    <w:p>
      <w:pPr>
        <w:pStyle w:val="Heading1"/>
      </w:pPr>
      <w:r>
        <w:t>风险与保障措施</w:t>
      </w:r>
    </w:p>
    <w:p>
      <w:r>
        <w:t>若业务部门坚持要接入短信或单点登录，范围必须单独立项。本项目书不能自行扩大范围。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