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测试组缺陷分级与验收用例（演示）</w:t>
      </w:r>
    </w:p>
    <w:p>
      <w:r>
        <w:t>本文为本地演示用虚构资料，不代表任何真实企业的制度、预算、人员或审批结论。金额、指标和日期只供检索引用演示。</w:t>
      </w:r>
    </w:p>
    <w:p>
      <w:r>
        <w:t>建议上传到：测试组。</w:t>
      </w:r>
    </w:p>
    <w:p>
      <w:pPr>
        <w:pStyle w:val="Heading1"/>
      </w:pPr>
      <w:r>
        <w:t>分级</w:t>
      </w:r>
    </w:p>
    <w:p>
      <w:r>
        <w:t>严重：数据写错部门、检索到其他部门原文、导出删除了待确认内容、批准后仍可改写父运行产物。严重缺陷未关闭不能验收。</w:t>
      </w:r>
    </w:p>
    <w:p>
      <w:r>
        <w:t>一般：排序不稳定、提示文案不准确、非关键字段缺失。可以带条件接收，但要写入残余风险。</w:t>
      </w:r>
    </w:p>
    <w:p>
      <w:r>
        <w:t>轻微：样式间距、不影响理解的用词。记入后续迭代。</w:t>
      </w:r>
    </w:p>
    <w:p>
      <w:pPr>
        <w:pStyle w:val="Heading1"/>
      </w:pPr>
      <w:r>
        <w:t>必测场景</w:t>
      </w:r>
    </w:p>
    <w:p>
      <w:r>
        <w:t>上传三种格式并建立索引；重复内容不重复入库；检索结果带页码或章节；缺少目标时流程暂停；修订意见为空时拒绝；从检查点分叉不改动原运行。</w:t>
      </w:r>
    </w:p>
    <w:p>
      <w:pPr>
        <w:pStyle w:val="Heading1"/>
      </w:pPr>
      <w:r>
        <w:t>部门隔离用例</w:t>
      </w:r>
    </w:p>
    <w:p>
      <w:r>
        <w:t>算法组上传的内部材料，框架组账号的列表和检索都不可见。框架组不能把文件指定传到算法组。公共资料三个部门都能检索到。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期望</w:t>
            </w:r>
          </w:p>
        </w:tc>
      </w:tr>
      <w:tr>
        <w:tc>
          <w:tcPr>
            <w:tcW w:type="dxa" w:w="4320"/>
          </w:tcPr>
          <w:p>
            <w:r>
              <w:t>T-ISO-01</w:t>
            </w:r>
          </w:p>
        </w:tc>
        <w:tc>
          <w:tcPr>
            <w:tcW w:type="dxa" w:w="4320"/>
          </w:tcPr>
          <w:p>
            <w:r>
              <w:t>其他部门文档列表不可见</w:t>
            </w:r>
          </w:p>
        </w:tc>
      </w:tr>
      <w:tr>
        <w:tc>
          <w:tcPr>
            <w:tcW w:type="dxa" w:w="4320"/>
          </w:tcPr>
          <w:p>
            <w:r>
              <w:t>T-ISO-02</w:t>
            </w:r>
          </w:p>
        </w:tc>
        <w:tc>
          <w:tcPr>
            <w:tcW w:type="dxa" w:w="4320"/>
          </w:tcPr>
          <w:p>
            <w:r>
              <w:t>指定上传到其他部门被拒绝</w:t>
            </w:r>
          </w:p>
        </w:tc>
      </w:tr>
      <w:tr>
        <w:tc>
          <w:tcPr>
            <w:tcW w:type="dxa" w:w="4320"/>
          </w:tcPr>
          <w:p>
            <w:r>
              <w:t>T-ISO-03</w:t>
            </w:r>
          </w:p>
        </w:tc>
        <w:tc>
          <w:tcPr>
            <w:tcW w:type="dxa" w:w="4320"/>
          </w:tcPr>
          <w:p>
            <w:r>
              <w:t>公共资料库三个部门都能检索</w:t>
            </w:r>
          </w:p>
        </w:tc>
      </w:tr>
      <w:tr>
        <w:tc>
          <w:tcPr>
            <w:tcW w:type="dxa" w:w="4320"/>
          </w:tcPr>
          <w:p>
            <w:r>
              <w:t>T-FLOW-01</w:t>
            </w:r>
          </w:p>
        </w:tc>
        <w:tc>
          <w:tcPr>
            <w:tcW w:type="dxa" w:w="4320"/>
          </w:tcPr>
          <w:p>
            <w:r>
              <w:t>缺交付物时暂停而不是直接生成</w:t>
            </w:r>
          </w:p>
        </w:tc>
      </w:tr>
      <w:tr>
        <w:tc>
          <w:tcPr>
            <w:tcW w:type="dxa" w:w="4320"/>
          </w:tcPr>
          <w:p>
            <w:r>
              <w:t>T-FORK-01</w:t>
            </w:r>
          </w:p>
        </w:tc>
        <w:tc>
          <w:tcPr>
            <w:tcW w:type="dxa" w:w="4320"/>
          </w:tcPr>
          <w:p>
            <w:r>
              <w:t>分叉不改写父运行产物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