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2026年测试窗口与环境说明（演示）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建议上传到：测试组。</w:t>
      </w:r>
    </w:p>
    <w:p>
      <w:pPr>
        <w:pStyle w:val="Heading1"/>
      </w:pPr>
      <w:r>
        <w:t>窗口</w:t>
      </w:r>
    </w:p>
    <w:p>
      <w:r>
        <w:t>2026年第二季度预留两个回归窗口：2026-04-13至2026-04-24，以及2026-06-08至2026-06-19。窗口之外不承诺插入全量回归。</w:t>
      </w:r>
    </w:p>
    <w:p>
      <w:pPr>
        <w:pStyle w:val="Heading1"/>
      </w:pPr>
      <w:r>
        <w:t>环境</w:t>
      </w:r>
    </w:p>
    <w:p>
      <w:r>
        <w:t>测试使用与演示相同的本地应用、数据库和模型服务。模型未就绪时，只执行上传、检索和权限用例，生成类用例记为阻塞而不是失败。</w:t>
      </w:r>
    </w:p>
    <w:p>
      <w:pPr>
        <w:pStyle w:val="Heading1"/>
      </w:pPr>
      <w:r>
        <w:t>数据</w:t>
      </w:r>
    </w:p>
    <w:p>
      <w:r>
        <w:t>测试材料使用虚构样本。不得把真实合同、个人信息和未公开生产数据放进资料库。</w:t>
      </w:r>
    </w:p>
    <w:p>
      <w:pPr>
        <w:pStyle w:val="Heading1"/>
      </w:pPr>
      <w:r>
        <w:t>入口标准</w:t>
      </w:r>
    </w:p>
    <w:p>
      <w:r>
        <w:t>进入全量回归前，严重缺陷清零，部门隔离三条用例通过，并且项目书导出仍保留待确认字样。</w:t>
      </w:r>
    </w:p>
    <w:p>
      <w:r>
        <w:t>计划编制工作流试点若赶在2026-04-01启动，第一个可用的全量窗口是2026-04-13，不能把启动日写成测试完成日。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