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before="0"/>
      </w:pPr>
      <w:r>
        <w:rPr>
          <w:rFonts w:ascii="Arial" w:cs="Arial" w:eastAsia="Arial" w:hAnsi="Arial"/>
          <w:b/>
          <w:bCs/>
          <w:color w:val="556677"/>
          <w:sz w:val="16"/>
          <w:szCs w:val="16"/>
        </w:rPr>
        <w:t xml:space="preserve">UUON FOUNDATION  //  KASSEL, GERMANY</w:t>
      </w:r>
    </w:p>
    <w:p>
      <w:pPr>
        <w:spacing w:after="80" w:before="0"/>
      </w:pPr>
      <w:r>
        <w:rPr>
          <w:rFonts w:ascii="Arial" w:cs="Arial" w:eastAsia="Arial" w:hAnsi="Arial"/>
          <w:b/>
          <w:bCs/>
          <w:color w:val="00C4AD"/>
          <w:sz w:val="80"/>
          <w:szCs w:val="80"/>
        </w:rPr>
        <w:t xml:space="preserve">queuePIT + Platonic IFS</w:t>
      </w:r>
    </w:p>
    <w:p>
      <w:pPr>
        <w:spacing w:after="60" w:before="0"/>
      </w:pPr>
      <w:r>
        <w:rPr>
          <w:rFonts w:ascii="Arial" w:cs="Arial" w:eastAsia="Arial" w:hAnsi="Arial"/>
          <w:color w:val="B8962E"/>
          <w:sz w:val="36"/>
          <w:szCs w:val="36"/>
        </w:rPr>
        <w:t xml:space="preserve">The Closed Geometry System</w:t>
      </w:r>
    </w:p>
    <w:p>
      <w:pPr>
        <w:spacing w:after="40" w:before="0"/>
      </w:pPr>
      <w:r>
        <w:rPr>
          <w:rFonts w:ascii="Arial" w:cs="Arial" w:eastAsia="Arial" w:hAnsi="Arial"/>
          <w:color w:val="6B4E97"/>
          <w:sz w:val="20"/>
          <w:szCs w:val="20"/>
        </w:rPr>
        <w:t xml:space="preserve">v1.000  --  Compound IFS  //  Platonic Symmetry  //  Quasicrystal Attractor</w:t>
      </w:r>
    </w:p>
    <w:p>
      <w:pPr>
        <w:spacing w:after="60" w:before="0"/>
      </w:pPr>
      <w:r>
        <w:rPr>
          <w:rFonts w:ascii="Arial" w:cs="Arial" w:eastAsia="Arial" w:hAnsi="Arial"/>
          <w:color w:val="556677"/>
          <w:sz w:val="18"/>
          <w:szCs w:val="18"/>
        </w:rPr>
        <w:t xml:space="preserve">Proprietary Framework  //  UUON Foundation Inc.</w:t>
      </w:r>
    </w:p>
    <w:p>
      <w:pPr>
        <w:pBdr>
          <w:bottom w:val="single" w:color="00C4AD" w:sz="4" w:space="1"/>
        </w:pBdr>
        <w:spacing w:after="300" w:before="300"/>
      </w:pPr>
    </w:p>
    <w:p>
      <w:pPr>
        <w:spacing w:after="160" w:before="0"/>
      </w:pPr>
      <w:r>
        <w:rPr>
          <w:rFonts w:ascii="Arial" w:cs="Arial" w:eastAsia="Arial" w:hAnsi="Arial"/>
          <w:b/>
          <w:bCs/>
          <w:color w:val="1A2A3A"/>
          <w:sz w:val="20"/>
          <w:szCs w:val="20"/>
        </w:rPr>
        <w:t xml:space="preserve">What you are holding is a navigational record. </w:t>
      </w:r>
      <w:r>
        <w:rPr>
          <w:rFonts w:ascii="Arial" w:cs="Arial" w:eastAsia="Arial" w:hAnsi="Arial"/>
          <w:color w:val="1A2A3A"/>
          <w:sz w:val="20"/>
          <w:szCs w:val="20"/>
        </w:rPr>
        <w:t xml:space="preserve">This system was not derived from theory. It was found by building a telescope before knowing what to point it at -- and recognizing what appeared.</w:t>
      </w: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I.  Origin</w:t>
      </w:r>
    </w:p>
    <w:p>
      <w:pPr>
        <w:spacing w:after="140"/>
      </w:pPr>
      <w:r>
        <w:rPr>
          <w:rFonts w:ascii="Arial" w:cs="Arial" w:eastAsia="Arial" w:hAnsi="Arial"/>
          <w:color w:val="1A2A3A"/>
          <w:sz w:val="20"/>
          <w:szCs w:val="20"/>
        </w:rPr>
        <w:t xml:space="preserve">The work began with a question about geometry as structure -- not decoration applied after the fact, but structure whose form and function are the same thing. The Menger Sponge was the entry point: a recursive object that maximizes surface area while driving volume toward zero, the same logic nature uses in bone, lung, and coral.</w:t>
      </w:r>
    </w:p>
    <w:p>
      <w:pPr>
        <w:spacing w:after="140"/>
      </w:pPr>
      <w:r>
        <w:rPr>
          <w:rFonts w:ascii="Arial" w:cs="Arial" w:eastAsia="Arial" w:hAnsi="Arial"/>
          <w:color w:val="1A2A3A"/>
          <w:sz w:val="20"/>
          <w:szCs w:val="20"/>
        </w:rPr>
        <w:t xml:space="preserve">What emerged from building the renderer was not what was expected. Stacking a conformal fold pretransform on top of the Menger IFS -- applying a second transformation inside the parameter space of the first -- produced an attractor with dual self-similarity operating at two distinct scales simultaneously. The fold hierarchy and the sponge hierarchy, coexisting, each visible at its own scale of observation.</w:t>
      </w:r>
    </w:p>
    <w:p>
      <w:pPr>
        <w:spacing w:after="140"/>
      </w:pPr>
      <w:r>
        <w:rPr>
          <w:rFonts w:ascii="Arial" w:cs="Arial" w:eastAsia="Arial" w:hAnsi="Arial"/>
          <w:b/>
          <w:bCs/>
          <w:color w:val="B8962E"/>
          <w:sz w:val="20"/>
          <w:szCs w:val="20"/>
        </w:rPr>
        <w:t xml:space="preserve">This is the compound IFS. </w:t>
      </w:r>
      <w:r>
        <w:rPr>
          <w:rFonts w:ascii="Arial" w:cs="Arial" w:eastAsia="Arial" w:hAnsi="Arial"/>
          <w:color w:val="1A2A3A"/>
          <w:sz w:val="20"/>
          <w:szCs w:val="20"/>
        </w:rPr>
        <w:t xml:space="preserve">It was not planned. It was navigated to empirically, by building and looking at what came out. The mathematics had a name for it afterward. The navigation came first.</w:t>
      </w: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II.  What This Is</w:t>
      </w:r>
    </w:p>
    <w:p>
      <w:pPr>
        <w:pStyle w:val="Heading2"/>
        <w:spacing w:after="120" w:before="360"/>
      </w:pPr>
      <w:r>
        <w:rPr>
          <w:rFonts w:ascii="Arial" w:cs="Arial" w:eastAsia="Arial" w:hAnsi="Arial"/>
          <w:b/>
          <w:bCs/>
          <w:color w:val="B8962E"/>
          <w:sz w:val="28"/>
          <w:szCs w:val="28"/>
        </w:rPr>
        <w:t xml:space="preserve">queuePIT</w:t>
      </w:r>
    </w:p>
    <w:p>
      <w:pPr>
        <w:spacing w:after="140"/>
      </w:pPr>
      <w:r>
        <w:rPr>
          <w:rFonts w:ascii="Arial" w:cs="Arial" w:eastAsia="Arial" w:hAnsi="Arial"/>
          <w:color w:val="1A2A3A"/>
          <w:sz w:val="20"/>
          <w:szCs w:val="20"/>
        </w:rPr>
        <w:t xml:space="preserve">A real-time Menger-Kleinian compound IFS renderer. The Menger Sponge as the base attractor, augmented by four configurable fold pretransforms -- Box, Kleinian sphere inversion, Lattice, and Tetrahedral -- each derived from different symmetry classes. WebGL1, single file, no dependencies, no server. Runs on any device with a browser.</w:t>
      </w:r>
    </w:p>
    <w:p>
      <w:pPr>
        <w:spacing w:after="140"/>
      </w:pPr>
      <w:r>
        <w:rPr>
          <w:rFonts w:ascii="Arial" w:cs="Arial" w:eastAsia="Arial" w:hAnsi="Arial"/>
          <w:color w:val="1A2A3A"/>
          <w:sz w:val="20"/>
          <w:szCs w:val="20"/>
        </w:rPr>
        <w:t xml:space="preserve">The key architectural decision: the visual renderer and the mesh extractor use intentionally different distance functions. The visual DE is artistic -- it accepts non-conservative fields to produce beautiful geometry. The mesh DE is the pure Menger cross-cylinder function, provably Lipschitz continuous, which is why the exported geometry is clean.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Engine</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queuePIT v1.000</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Renderer</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WebGL1 GLSL ES 1.0</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Base IFS</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Menger Sponge (Knighty method)</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Fold types</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Box / Kleinian / Lattice / Tetrahedral</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Hausdorff</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2.727 (between surface and volume)</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Export</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Wavefront OBJ via marching cubes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6B4E97"/>
                <w:sz w:val="18"/>
                <w:szCs w:val="18"/>
              </w:rPr>
              <w:t xml:space="preserve">Mesh ISO</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Adaptive: -(step * 0.10)</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6B4E97"/>
                <w:sz w:val="18"/>
                <w:szCs w:val="18"/>
              </w:rPr>
              <w:t xml:space="preserve">Sanitization</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6-pass field rejection pipeline</w:t>
            </w:r>
          </w:p>
        </w:tc>
      </w:tr>
    </w:tbl>
    <w:p>
      <w:pPr>
        <w:spacing w:after="80"/>
      </w:pPr>
    </w:p>
    <w:p>
      <w:pPr>
        <w:pStyle w:val="Heading2"/>
        <w:spacing w:after="120" w:before="360"/>
      </w:pPr>
      <w:r>
        <w:rPr>
          <w:rFonts w:ascii="Arial" w:cs="Arial" w:eastAsia="Arial" w:hAnsi="Arial"/>
          <w:b/>
          <w:bCs/>
          <w:color w:val="B8962E"/>
          <w:sz w:val="28"/>
          <w:szCs w:val="28"/>
        </w:rPr>
        <w:t xml:space="preserve">Platonic IFS -- Closed Container</w:t>
      </w:r>
    </w:p>
    <w:p>
      <w:pPr>
        <w:spacing w:after="140"/>
      </w:pPr>
      <w:r>
        <w:rPr>
          <w:rFonts w:ascii="Arial" w:cs="Arial" w:eastAsia="Arial" w:hAnsi="Arial"/>
          <w:color w:val="1A2A3A"/>
          <w:sz w:val="20"/>
          <w:szCs w:val="20"/>
        </w:rPr>
        <w:t xml:space="preserve">The second engine in the system. Where queuePIT is open -- the attractor extending outward -- the Platonic IFS is contained. A hard boundary (sphere or cube) defines the environment. The fold happens inside. Nothing escapes.</w:t>
      </w:r>
    </w:p>
    <w:p>
      <w:pPr>
        <w:spacing w:after="140"/>
      </w:pPr>
      <w:r>
        <w:rPr>
          <w:rFonts w:ascii="Arial" w:cs="Arial" w:eastAsia="Arial" w:hAnsi="Arial"/>
          <w:color w:val="1A2A3A"/>
          <w:sz w:val="20"/>
          <w:szCs w:val="20"/>
        </w:rPr>
        <w:t xml:space="preserve">Four Platonic symmetry groups replace the previous fold system. Each one maps all of three-dimensional space into a fundamental domain -- a minimal wedge from which the entire space can be reconstructed by reflection. The Menger IFS runs inside whatever domain is specified. The solid inherits both: the global symmetry of the Platonic group and the recursive self-similarity of the IFS.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Engine</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Platonic IFS v2.000</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Container</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Sphere / Cube / Open</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Icosahedral</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Ih -- 120 symmetry operations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Octahedral</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Oh -- 48 symmetry operations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Dodecahedral</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Ih -- 120 operations (phi-based)</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6B4E97"/>
                <w:sz w:val="18"/>
                <w:szCs w:val="18"/>
              </w:rPr>
              <w:t xml:space="preserve">Tetrahedral</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Td -- 24 symmetry operations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Phi uniform</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Live parameter -- golden ratio</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6B4E97"/>
                <w:sz w:val="18"/>
                <w:szCs w:val="18"/>
              </w:rPr>
              <w:t xml:space="preserve">PHI-CUT</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1A2A3A"/>
                <w:sz w:val="18"/>
                <w:szCs w:val="18"/>
              </w:rPr>
              <w:t xml:space="preserve">5-fold crystallographic axis</w:t>
            </w:r>
          </w:p>
        </w:tc>
      </w:tr>
    </w:tbl>
    <w:p>
      <w:pPr>
        <w:spacing w:after="80"/>
      </w:pP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III.  The Mathematics</w:t>
      </w:r>
    </w:p>
    <w:p>
      <w:pPr>
        <w:pStyle w:val="Heading2"/>
        <w:spacing w:after="120" w:before="360"/>
      </w:pPr>
      <w:r>
        <w:rPr>
          <w:rFonts w:ascii="Arial" w:cs="Arial" w:eastAsia="Arial" w:hAnsi="Arial"/>
          <w:b/>
          <w:bCs/>
          <w:color w:val="B8962E"/>
          <w:sz w:val="28"/>
          <w:szCs w:val="28"/>
        </w:rPr>
        <w:t xml:space="preserve">Compound IFS</w:t>
      </w:r>
    </w:p>
    <w:p>
      <w:pPr>
        <w:spacing w:after="140"/>
      </w:pPr>
      <w:r>
        <w:rPr>
          <w:rFonts w:ascii="Arial" w:cs="Arial" w:eastAsia="Arial" w:hAnsi="Arial"/>
          <w:color w:val="1A2A3A"/>
          <w:sz w:val="20"/>
          <w:szCs w:val="20"/>
        </w:rPr>
        <w:t xml:space="preserve">An Iterated Function System (IFS) is a finite set of contraction mappings. Applied repeatedly to any starting point, these mappings converge to a unique attractor -- the fractal. The Menger Sponge is the attractor of a specific IFS that removes the center and six face-centers of each cubic subdivision, infinitely.</w:t>
      </w:r>
    </w:p>
    <w:p>
      <w:pPr>
        <w:spacing w:after="140"/>
      </w:pPr>
      <w:r>
        <w:rPr>
          <w:rFonts w:ascii="Arial" w:cs="Arial" w:eastAsia="Arial" w:hAnsi="Arial"/>
          <w:color w:val="1A2A3A"/>
          <w:sz w:val="20"/>
          <w:szCs w:val="20"/>
        </w:rPr>
        <w:t xml:space="preserve">Stacking a fold pretransform on the Menger IFS applies a second IFS transformation inside the parameter space of the first. The compound attractor is the limit set of the combined system -- it has:</w:t>
      </w:r>
    </w:p>
    <w:p>
      <w:pPr>
        <w:pStyle w:val="ListParagraph"/>
        <w:numPr>
          <w:ilvl w:val="0"/>
          <w:numId w:val="2"/>
        </w:numPr>
        <w:spacing w:after="80"/>
      </w:pPr>
      <w:r>
        <w:rPr>
          <w:rFonts w:ascii="Arial" w:cs="Arial" w:eastAsia="Arial" w:hAnsi="Arial"/>
          <w:color w:val="1A2A3A"/>
          <w:sz w:val="20"/>
          <w:szCs w:val="20"/>
        </w:rPr>
        <w:t xml:space="preserve">Self-similarity at the Menger scale (recursive cubic voids)</w:t>
      </w:r>
    </w:p>
    <w:p>
      <w:pPr>
        <w:pStyle w:val="ListParagraph"/>
        <w:numPr>
          <w:ilvl w:val="0"/>
          <w:numId w:val="2"/>
        </w:numPr>
        <w:spacing w:after="80"/>
      </w:pPr>
      <w:r>
        <w:rPr>
          <w:rFonts w:ascii="Arial" w:cs="Arial" w:eastAsia="Arial" w:hAnsi="Arial"/>
          <w:color w:val="1A2A3A"/>
          <w:sz w:val="20"/>
          <w:szCs w:val="20"/>
        </w:rPr>
        <w:t xml:space="preserve">Self-similarity at the fold scale (Platonic symmetry repetition)</w:t>
      </w:r>
    </w:p>
    <w:p>
      <w:pPr>
        <w:pStyle w:val="ListParagraph"/>
        <w:numPr>
          <w:ilvl w:val="0"/>
          <w:numId w:val="2"/>
        </w:numPr>
        <w:spacing w:after="80"/>
      </w:pPr>
      <w:r>
        <w:rPr>
          <w:rFonts w:ascii="Arial" w:cs="Arial" w:eastAsia="Arial" w:hAnsi="Arial"/>
          <w:color w:val="1A2A3A"/>
          <w:sz w:val="20"/>
          <w:szCs w:val="20"/>
        </w:rPr>
        <w:t xml:space="preserve">Cross-scale interaction where both hierarchies interfere</w:t>
      </w:r>
    </w:p>
    <w:p>
      <w:pPr>
        <w:spacing w:after="80"/>
      </w:pPr>
    </w:p>
    <w:p>
      <w:pPr>
        <w:pStyle w:val="Heading2"/>
        <w:spacing w:after="120" w:before="360"/>
      </w:pPr>
      <w:r>
        <w:rPr>
          <w:rFonts w:ascii="Arial" w:cs="Arial" w:eastAsia="Arial" w:hAnsi="Arial"/>
          <w:b/>
          <w:bCs/>
          <w:color w:val="B8962E"/>
          <w:sz w:val="28"/>
          <w:szCs w:val="28"/>
        </w:rPr>
        <w:t xml:space="preserve">Icosahedral Symmetry and Quasicrystals</w:t>
      </w:r>
    </w:p>
    <w:p>
      <w:pPr>
        <w:spacing w:after="140"/>
      </w:pPr>
      <w:r>
        <w:rPr>
          <w:rFonts w:ascii="Arial" w:cs="Arial" w:eastAsia="Arial" w:hAnsi="Arial"/>
          <w:color w:val="1A2A3A"/>
          <w:sz w:val="20"/>
          <w:szCs w:val="20"/>
        </w:rPr>
        <w:t xml:space="preserve">The icosahedron has 120 symmetry operations -- reflections, rotations, and their compositions. Its reflection planes are defined by the golden ratio: the vertex coordinates of a unit icosahedron are all permutations of (0, +/-1, +/-phi) where phi = (1+sqrt(5))/2 = 1.61803...</w:t>
      </w:r>
    </w:p>
    <w:p>
      <w:pPr>
        <w:spacing w:after="140"/>
      </w:pPr>
      <w:r>
        <w:rPr>
          <w:rFonts w:ascii="Arial" w:cs="Arial" w:eastAsia="Arial" w:hAnsi="Arial"/>
          <w:color w:val="1A2A3A"/>
          <w:sz w:val="20"/>
          <w:szCs w:val="20"/>
        </w:rPr>
        <w:t xml:space="preserve">Icosahedral symmetry is quasicrystalline. It cannot tile three-dimensional space periodically -- the five-fold axes are mathematically incompatible with translational symmetry. This is why quasicrystals were declared impossible before Dan Shechtman found them in 1982 (Nobel Prize, 2011). The Menger IFS running inside an icosahedral fundamental domain produces a fractal attractor with five-fold symmetry at every scale, non-repeating, aperiodic.</w:t>
      </w:r>
    </w:p>
    <w:p>
      <w:pPr>
        <w:spacing w:after="140"/>
      </w:pPr>
      <w:r>
        <w:rPr>
          <w:rFonts w:ascii="Arial" w:cs="Arial" w:eastAsia="Arial" w:hAnsi="Arial"/>
          <w:b/>
          <w:bCs/>
          <w:color w:val="B8962E"/>
          <w:sz w:val="20"/>
          <w:szCs w:val="20"/>
        </w:rPr>
        <w:t xml:space="preserve">The PHI-CUT </w:t>
      </w:r>
      <w:r>
        <w:rPr>
          <w:rFonts w:ascii="Arial" w:cs="Arial" w:eastAsia="Arial" w:hAnsi="Arial"/>
          <w:color w:val="1A2A3A"/>
          <w:sz w:val="20"/>
          <w:szCs w:val="20"/>
        </w:rPr>
        <w:t xml:space="preserve">-- the section plane along the (1, phi, 0) crystallographic direction -- reveals the Penrose-like quasicrystalline cross-sections that are completely invisible from outside the object. This is what the "hidden designs" parameter exposes.</w:t>
      </w:r>
    </w:p>
    <w:p>
      <w:pPr>
        <w:spacing w:after="80"/>
      </w:pPr>
    </w:p>
    <w:p>
      <w:pPr>
        <w:pStyle w:val="Heading2"/>
        <w:spacing w:after="120" w:before="360"/>
      </w:pPr>
      <w:r>
        <w:rPr>
          <w:rFonts w:ascii="Arial" w:cs="Arial" w:eastAsia="Arial" w:hAnsi="Arial"/>
          <w:b/>
          <w:bCs/>
          <w:color w:val="B8962E"/>
          <w:sz w:val="28"/>
          <w:szCs w:val="28"/>
        </w:rPr>
        <w:t xml:space="preserve">Distance Estimator Architecture</w:t>
      </w:r>
    </w:p>
    <w:p>
      <w:pPr>
        <w:spacing w:after="140"/>
      </w:pPr>
      <w:r>
        <w:rPr>
          <w:rFonts w:ascii="Arial" w:cs="Arial" w:eastAsia="Arial" w:hAnsi="Arial"/>
          <w:color w:val="1A2A3A"/>
          <w:sz w:val="20"/>
          <w:szCs w:val="20"/>
        </w:rPr>
        <w:t xml:space="preserve">The rendering system uses Signed Distance Fields (SDF) -- functions that return the distance from any point in space to the nearest surface. Raymarching follows these gradients to find intersections without explicit mesh geometry.</w:t>
      </w:r>
    </w:p>
    <w:p>
      <w:pPr>
        <w:spacing w:after="140"/>
      </w:pPr>
      <w:r>
        <w:rPr>
          <w:rFonts w:ascii="Arial" w:cs="Arial" w:eastAsia="Arial" w:hAnsi="Arial"/>
          <w:color w:val="1A2A3A"/>
          <w:sz w:val="20"/>
          <w:szCs w:val="20"/>
        </w:rPr>
        <w:t xml:space="preserve">The critical architectural insight: the fold pretransforms (Kleinian sphere inversion, lattice wrapping, tetrahedral folding) destroy Lipschitz continuity. The resulting DE is not a true SDF. The raymarcher tolerates this because it only needs approximate distances to avoid overshooting. Marching cubes does not tolerate it -- it assumes continuous scalar topology.</w:t>
      </w:r>
    </w:p>
    <w:p>
      <w:pPr>
        <w:spacing w:after="140"/>
      </w:pPr>
      <w:r>
        <w:rPr>
          <w:rFonts w:ascii="Arial" w:cs="Arial" w:eastAsia="Arial" w:hAnsi="Arial"/>
          <w:b/>
          <w:bCs/>
          <w:color w:val="B8962E"/>
          <w:sz w:val="20"/>
          <w:szCs w:val="20"/>
        </w:rPr>
        <w:t xml:space="preserve">Two separate distance functions: </w:t>
      </w:r>
      <w:r>
        <w:rPr>
          <w:rFonts w:ascii="Arial" w:cs="Arial" w:eastAsia="Arial" w:hAnsi="Arial"/>
          <w:color w:val="1A2A3A"/>
          <w:sz w:val="20"/>
          <w:szCs w:val="20"/>
        </w:rPr>
        <w:t xml:space="preserve">artistic DE for the renderer (accepts non-conservative fields, produces beautiful geometry), conservative DE for mesh extraction (pure Menger cross-cylinder only, provably Lipschitz, produces clean manifold meshes). This is the same separation used by Mandelbulb3D, Fragmentarium, and Kali.</w:t>
      </w:r>
    </w:p>
    <w:p>
      <w:pPr>
        <w:spacing w:after="80"/>
      </w:pPr>
    </w:p>
    <w:p>
      <w:pPr>
        <w:shd w:fill="0A1520" w:val="clear"/>
        <w:spacing w:after="0" w:before="80" w:line="240"/>
        <w:ind w:left="360" w:right="360"/>
      </w:pPr>
      <w:r>
        <w:rPr>
          <w:rFonts w:ascii="Courier New" w:cs="Courier New" w:eastAsia="Courier New" w:hAnsi="Courier New"/>
          <w:color w:val="6ECFBE"/>
          <w:sz w:val="17"/>
          <w:szCs w:val="17"/>
        </w:rPr>
        <w:t xml:space="preserve">  VISUAL DE (GLSL raymarcher):</w:t>
      </w:r>
    </w:p>
    <w:p>
      <w:pPr>
        <w:shd w:fill="0A1520" w:val="clear"/>
        <w:spacing w:after="0" w:before="0" w:line="240"/>
        <w:ind w:left="360" w:right="360"/>
      </w:pPr>
      <w:r>
        <w:rPr>
          <w:rFonts w:ascii="Courier New" w:cs="Courier New" w:eastAsia="Courier New" w:hAnsi="Courier New"/>
          <w:color w:val="6ECFBE"/>
          <w:sz w:val="17"/>
          <w:szCs w:val="17"/>
        </w:rPr>
        <w:t xml:space="preserve">    Full artistic: folds + orbit traps + blend mixing</w:t>
      </w:r>
    </w:p>
    <w:p>
      <w:pPr>
        <w:shd w:fill="0A1520" w:val="clear"/>
        <w:spacing w:after="0" w:before="0" w:line="240"/>
        <w:ind w:left="360" w:right="360"/>
      </w:pPr>
      <w:r>
        <w:rPr>
          <w:rFonts w:ascii="Courier New" w:cs="Courier New" w:eastAsia="Courier New" w:hAnsi="Courier New"/>
          <w:color w:val="6ECFBE"/>
          <w:sz w:val="17"/>
          <w:szCs w:val="17"/>
        </w:rPr>
        <w:t xml:space="preserve">    Step multiplier: 0.50x (conservative for non-SDF regions)</w:t>
      </w:r>
    </w:p>
    <w:p>
      <w:pPr>
        <w:shd w:fill="0A1520" w:val="clear"/>
        <w:spacing w:after="0" w:before="0" w:line="240"/>
        <w:ind w:left="360" w:right="360"/>
      </w:pPr>
      <w:r>
        <w:rPr>
          <w:rFonts w:ascii="Courier New" w:cs="Courier New" w:eastAsia="Courier New" w:hAnsi="Courier New"/>
          <w:color w:val="6ECFBE"/>
          <w:sz w:val="17"/>
          <w:szCs w:val="17"/>
        </w:rPr>
        <w:t xml:space="preserve">    EPS: 0.0006</w:t>
      </w:r>
    </w:p>
    <w:p>
      <w:pPr>
        <w:shd w:fill="0A1520" w:val="clear"/>
        <w:spacing w:after="0" w:before="0" w:line="240"/>
        <w:ind w:left="360" w:right="360"/>
      </w:pPr>
      <w:r>
        <w:rPr>
          <w:rFonts w:ascii="Courier New" w:cs="Courier New" w:eastAsia="Courier New" w:hAnsi="Courier New"/>
          <w:color w:val="6ECFBE"/>
          <w:sz w:val="17"/>
          <w:szCs w:val="17"/>
        </w:rPr>
        <w:t xml:space="preserve"> </w:t>
      </w:r>
    </w:p>
    <w:p>
      <w:pPr>
        <w:shd w:fill="0A1520" w:val="clear"/>
        <w:spacing w:after="0" w:before="0" w:line="240"/>
        <w:ind w:left="360" w:right="360"/>
      </w:pPr>
      <w:r>
        <w:rPr>
          <w:rFonts w:ascii="Courier New" w:cs="Courier New" w:eastAsia="Courier New" w:hAnsi="Courier New"/>
          <w:color w:val="6ECFBE"/>
          <w:sz w:val="17"/>
          <w:szCs w:val="17"/>
        </w:rPr>
        <w:t xml:space="preserve">  MESH DE (CPU marching cubes):</w:t>
      </w:r>
    </w:p>
    <w:p>
      <w:pPr>
        <w:shd w:fill="0A1520" w:val="clear"/>
        <w:spacing w:after="0" w:before="0" w:line="240"/>
        <w:ind w:left="360" w:right="360"/>
      </w:pPr>
      <w:r>
        <w:rPr>
          <w:rFonts w:ascii="Courier New" w:cs="Courier New" w:eastAsia="Courier New" w:hAnsi="Courier New"/>
          <w:color w:val="6ECFBE"/>
          <w:sz w:val="17"/>
          <w:szCs w:val="17"/>
        </w:rPr>
        <w:t xml:space="preserve">    Pure Menger cross-cylinder: no folds, no blending</w:t>
      </w:r>
    </w:p>
    <w:p>
      <w:pPr>
        <w:shd w:fill="0A1520" w:val="clear"/>
        <w:spacing w:after="0" w:before="0" w:line="240"/>
        <w:ind w:left="360" w:right="360"/>
      </w:pPr>
      <w:r>
        <w:rPr>
          <w:rFonts w:ascii="Courier New" w:cs="Courier New" w:eastAsia="Courier New" w:hAnsi="Courier New"/>
          <w:color w:val="6ECFBE"/>
          <w:sz w:val="17"/>
          <w:szCs w:val="17"/>
        </w:rPr>
        <w:t xml:space="preserve">    Lipschitz continuous -- true SDF</w:t>
      </w:r>
    </w:p>
    <w:p>
      <w:pPr>
        <w:shd w:fill="0A1520" w:val="clear"/>
        <w:spacing w:after="0" w:before="0" w:line="240"/>
        <w:ind w:left="360" w:right="360"/>
      </w:pPr>
      <w:r>
        <w:rPr>
          <w:rFonts w:ascii="Courier New" w:cs="Courier New" w:eastAsia="Courier New" w:hAnsi="Courier New"/>
          <w:color w:val="6ECFBE"/>
          <w:sz w:val="17"/>
          <w:szCs w:val="17"/>
        </w:rPr>
        <w:t xml:space="preserve">    ISO: adaptive -(step * 0.10)</w:t>
      </w:r>
    </w:p>
    <w:p>
      <w:pPr>
        <w:shd w:fill="0A1520" w:val="clear"/>
        <w:spacing w:after="0" w:before="0" w:line="240"/>
        <w:ind w:left="360" w:right="360"/>
      </w:pPr>
      <w:r>
        <w:rPr>
          <w:rFonts w:ascii="Courier New" w:cs="Courier New" w:eastAsia="Courier New" w:hAnsi="Courier New"/>
          <w:color w:val="6ECFBE"/>
          <w:sz w:val="17"/>
          <w:szCs w:val="17"/>
        </w:rPr>
        <w:t xml:space="preserve">    6-pass sanitization: NaN / gradient / degenerate rejection</w:t>
      </w:r>
    </w:p>
    <w:p>
      <w:pPr>
        <w:spacing w:after="80"/>
      </w:pP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IV.  Architecture</w:t>
      </w:r>
    </w:p>
    <w:p>
      <w:pPr>
        <w:pStyle w:val="Heading2"/>
        <w:spacing w:after="120" w:before="360"/>
      </w:pPr>
      <w:r>
        <w:rPr>
          <w:rFonts w:ascii="Arial" w:cs="Arial" w:eastAsia="Arial" w:hAnsi="Arial"/>
          <w:b/>
          <w:bCs/>
          <w:color w:val="B8962E"/>
          <w:sz w:val="28"/>
          <w:szCs w:val="28"/>
        </w:rPr>
        <w:t xml:space="preserve">Container Intersection</w:t>
      </w:r>
    </w:p>
    <w:p>
      <w:pPr>
        <w:spacing w:after="140"/>
      </w:pPr>
      <w:r>
        <w:rPr>
          <w:rFonts w:ascii="Arial" w:cs="Arial" w:eastAsia="Arial" w:hAnsi="Arial"/>
          <w:color w:val="1A2A3A"/>
          <w:sz w:val="20"/>
          <w:szCs w:val="20"/>
        </w:rPr>
        <w:t xml:space="preserve">The defining feature of the Platonic IFS engine is the container. The distance estimator for the scene is:</w:t>
      </w:r>
    </w:p>
    <w:p>
      <w:pPr>
        <w:spacing w:after="80"/>
      </w:pPr>
    </w:p>
    <w:p>
      <w:pPr>
        <w:shd w:fill="0A1520" w:val="clear"/>
        <w:spacing w:after="0" w:before="80" w:line="240"/>
        <w:ind w:left="360" w:right="360"/>
      </w:pPr>
      <w:r>
        <w:rPr>
          <w:rFonts w:ascii="Courier New" w:cs="Courier New" w:eastAsia="Courier New" w:hAnsi="Courier New"/>
          <w:color w:val="6ECFBE"/>
          <w:sz w:val="17"/>
          <w:szCs w:val="17"/>
        </w:rPr>
        <w:t xml:space="preserve">  d = max(mengerDE(p), containerDE(p))</w:t>
      </w:r>
    </w:p>
    <w:p>
      <w:pPr>
        <w:spacing w:after="80"/>
      </w:pPr>
    </w:p>
    <w:p>
      <w:pPr>
        <w:spacing w:after="140"/>
      </w:pPr>
      <w:r>
        <w:rPr>
          <w:rFonts w:ascii="Arial" w:cs="Arial" w:eastAsia="Arial" w:hAnsi="Arial"/>
          <w:color w:val="1A2A3A"/>
          <w:sz w:val="20"/>
          <w:szCs w:val="20"/>
        </w:rPr>
        <w:t xml:space="preserve">The max of two DEs is their geometric intersection -- only geometry that is inside both the Menger attractor AND the container is rendered. The fold can produce any internal structure it wants. The container is the wall. Nothing leaves. This produces the closed environment -- a single coherent object rather than an unbounded scene.</w:t>
      </w:r>
    </w:p>
    <w:p>
      <w:pPr>
        <w:spacing w:after="80"/>
      </w:pPr>
    </w:p>
    <w:p>
      <w:pPr>
        <w:pStyle w:val="Heading2"/>
        <w:spacing w:after="120" w:before="360"/>
      </w:pPr>
      <w:r>
        <w:rPr>
          <w:rFonts w:ascii="Arial" w:cs="Arial" w:eastAsia="Arial" w:hAnsi="Arial"/>
          <w:b/>
          <w:bCs/>
          <w:color w:val="B8962E"/>
          <w:sz w:val="28"/>
          <w:szCs w:val="28"/>
        </w:rPr>
        <w:t xml:space="preserve">Phi as a Live Parameter</w:t>
      </w:r>
    </w:p>
    <w:p>
      <w:pPr>
        <w:spacing w:after="140"/>
      </w:pPr>
      <w:r>
        <w:rPr>
          <w:rFonts w:ascii="Arial" w:cs="Arial" w:eastAsia="Arial" w:hAnsi="Arial"/>
          <w:color w:val="1A2A3A"/>
          <w:sz w:val="20"/>
          <w:szCs w:val="20"/>
        </w:rPr>
        <w:t xml:space="preserve">In both engines, phi (the golden ratio) is a live uniform rather than a hardcoded constant. Dragging it away from 1.618 breaks the quasicrystalline symmetry in controlled ways. At phi=1.0 the icosahedral fold degrades toward cubic. At phi=2.0 the attractor stretches toward elongated spike structures. The transition region between 1.5 and 1.8 contains the richest unexpected geometry -- attractors that have no name and no prior documentation.</w:t>
      </w:r>
    </w:p>
    <w:p>
      <w:pPr>
        <w:spacing w:after="80"/>
      </w:pPr>
    </w:p>
    <w:p>
      <w:pPr>
        <w:pStyle w:val="Heading2"/>
        <w:spacing w:after="120" w:before="360"/>
      </w:pPr>
      <w:r>
        <w:rPr>
          <w:rFonts w:ascii="Arial" w:cs="Arial" w:eastAsia="Arial" w:hAnsi="Arial"/>
          <w:b/>
          <w:bCs/>
          <w:color w:val="B8962E"/>
          <w:sz w:val="28"/>
          <w:szCs w:val="28"/>
        </w:rPr>
        <w:t xml:space="preserve">Field Sanitization</w:t>
      </w:r>
    </w:p>
    <w:p>
      <w:pPr>
        <w:spacing w:after="140"/>
      </w:pPr>
      <w:r>
        <w:rPr>
          <w:rFonts w:ascii="Arial" w:cs="Arial" w:eastAsia="Arial" w:hAnsi="Arial"/>
          <w:color w:val="1A2A3A"/>
          <w:sz w:val="20"/>
          <w:szCs w:val="20"/>
        </w:rPr>
        <w:t xml:space="preserve">The marching cubes mesh extractor applies six rejection passes before triangulation. This is the production-standard approach for fractal field meshing: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Pass 1</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!isFinite(v) || |v| &gt; 10.0    -- reject NaN, Inf, implausible values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Pass 2</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(maxV - minV) &gt; step * 12.0   -- reject discontinuous cubes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Pass 3</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|minV| or |maxV| &gt; 10.0       -- double-check on per-cube basis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Pass 4</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|denom| &lt; 1e-10               -- clamp interpolation denominator</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Pass 5</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t = clamp(t, 0, 1)            -- prevent edge extrapolation</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Pass 6</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area2 &lt; 1e-20                 -- reject degenerate triangles</w:t>
            </w:r>
          </w:p>
        </w:tc>
      </w:tr>
    </w:tbl>
    <w:p>
      <w:pPr>
        <w:spacing w:after="80"/>
      </w:pP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V.  Applications</w:t>
      </w:r>
    </w:p>
    <w:p>
      <w:pPr>
        <w:pStyle w:val="Heading2"/>
        <w:spacing w:after="120" w:before="360"/>
      </w:pPr>
      <w:r>
        <w:rPr>
          <w:rFonts w:ascii="Arial" w:cs="Arial" w:eastAsia="Arial" w:hAnsi="Arial"/>
          <w:b/>
          <w:bCs/>
          <w:color w:val="B8962E"/>
          <w:sz w:val="28"/>
          <w:szCs w:val="28"/>
        </w:rPr>
        <w:t xml:space="preserve">Architecture</w:t>
      </w:r>
    </w:p>
    <w:p>
      <w:pPr>
        <w:spacing w:after="140"/>
      </w:pPr>
      <w:r>
        <w:rPr>
          <w:rFonts w:ascii="Arial" w:cs="Arial" w:eastAsia="Arial" w:hAnsi="Arial"/>
          <w:color w:val="1A2A3A"/>
          <w:sz w:val="20"/>
          <w:szCs w:val="20"/>
        </w:rPr>
        <w:t xml:space="preserve">The Menger Sponge maximizes surface area while driving volume toward zero -- the same optimization nature uses in bone trabeculae, pulmonary alveoli, and coral reef structure. A building derived from this geometry distributes stress through recursive branching rather than bulk material. The ornamentation is structural. The pattern is the load path.</w:t>
      </w:r>
    </w:p>
    <w:p>
      <w:pPr>
        <w:spacing w:after="140"/>
      </w:pPr>
      <w:r>
        <w:rPr>
          <w:rFonts w:ascii="Arial" w:cs="Arial" w:eastAsia="Arial" w:hAnsi="Arial"/>
          <w:color w:val="1A2A3A"/>
          <w:sz w:val="20"/>
          <w:szCs w:val="20"/>
        </w:rPr>
        <w:t xml:space="preserve">Self-similarity at every scale means the design language is consistent from site scale to material scale. Most architectural ornament is applied after the structural decisions are made. This system produces ornament and structure from the same mathematical source.</w:t>
      </w:r>
    </w:p>
    <w:p>
      <w:pPr>
        <w:spacing w:after="140"/>
      </w:pPr>
      <w:r>
        <w:rPr>
          <w:rFonts w:ascii="Arial" w:cs="Arial" w:eastAsia="Arial" w:hAnsi="Arial"/>
          <w:color w:val="1A2A3A"/>
          <w:sz w:val="20"/>
          <w:szCs w:val="20"/>
        </w:rPr>
        <w:t xml:space="preserve">Acoustic performance: the recursive irregular surfaces scatter sound non-uniformly at multiple frequency ranges simultaneously because the void sizes vary across scales. Concert halls, cathedrals, recording spaces -- this is the geometry that makes them sound alive.</w:t>
      </w:r>
    </w:p>
    <w:p>
      <w:pPr>
        <w:spacing w:after="140"/>
      </w:pPr>
      <w:r>
        <w:rPr>
          <w:rFonts w:ascii="Arial" w:cs="Arial" w:eastAsia="Arial" w:hAnsi="Arial"/>
          <w:b/>
          <w:bCs/>
          <w:color w:val="B8962E"/>
          <w:sz w:val="20"/>
          <w:szCs w:val="20"/>
        </w:rPr>
        <w:t xml:space="preserve">Michael Hansmeyer</w:t>
      </w:r>
      <w:r>
        <w:rPr>
          <w:rFonts w:ascii="Arial" w:cs="Arial" w:eastAsia="Arial" w:hAnsi="Arial"/>
          <w:color w:val="1A2A3A"/>
          <w:sz w:val="20"/>
          <w:szCs w:val="20"/>
        </w:rPr>
        <w:t xml:space="preserve"> (ETH Zurich) produced similar subdivision-based architectural columns through computation. He called it "digital grotesque." This system generates comparable geometry in real-time and exports clean OBJ meshes suitable for CNC milling or 3D printing.</w:t>
      </w:r>
    </w:p>
    <w:p>
      <w:pPr>
        <w:spacing w:after="80"/>
      </w:pPr>
    </w:p>
    <w:p>
      <w:pPr>
        <w:pStyle w:val="Heading2"/>
        <w:spacing w:after="120" w:before="360"/>
      </w:pPr>
      <w:r>
        <w:rPr>
          <w:rFonts w:ascii="Arial" w:cs="Arial" w:eastAsia="Arial" w:hAnsi="Arial"/>
          <w:b/>
          <w:bCs/>
          <w:color w:val="B8962E"/>
          <w:sz w:val="28"/>
          <w:szCs w:val="28"/>
        </w:rPr>
        <w:t xml:space="preserve">Quasicrystalline Materials</w:t>
      </w:r>
    </w:p>
    <w:p>
      <w:pPr>
        <w:spacing w:after="140"/>
      </w:pPr>
      <w:r>
        <w:rPr>
          <w:rFonts w:ascii="Arial" w:cs="Arial" w:eastAsia="Arial" w:hAnsi="Arial"/>
          <w:color w:val="1A2A3A"/>
          <w:sz w:val="20"/>
          <w:szCs w:val="20"/>
        </w:rPr>
        <w:t xml:space="preserve">The icosahedral attractor is directly related to the geometry of aluminum-manganese quasicrystals. The aperiodic structure prevents dislocation propagation through the material -- quasicrystalline alloys have anomalous hardness for this reason. At architectural scale, a surface panel geometry derived from the icosahedral compound IFS would inherit this structural principle: no two panels identical, but all locally coherent with neighbors.</w:t>
      </w:r>
    </w:p>
    <w:p>
      <w:pPr>
        <w:spacing w:after="80"/>
      </w:pPr>
    </w:p>
    <w:p>
      <w:pPr>
        <w:pStyle w:val="Heading2"/>
        <w:spacing w:after="120" w:before="360"/>
      </w:pPr>
      <w:r>
        <w:rPr>
          <w:rFonts w:ascii="Arial" w:cs="Arial" w:eastAsia="Arial" w:hAnsi="Arial"/>
          <w:b/>
          <w:bCs/>
          <w:color w:val="B8962E"/>
          <w:sz w:val="28"/>
          <w:szCs w:val="28"/>
        </w:rPr>
        <w:t xml:space="preserve">Photonic Crystals and Antenna Design</w:t>
      </w:r>
    </w:p>
    <w:p>
      <w:pPr>
        <w:spacing w:after="140"/>
      </w:pPr>
      <w:r>
        <w:rPr>
          <w:rFonts w:ascii="Arial" w:cs="Arial" w:eastAsia="Arial" w:hAnsi="Arial"/>
          <w:color w:val="1A2A3A"/>
          <w:sz w:val="20"/>
          <w:szCs w:val="20"/>
        </w:rPr>
        <w:t xml:space="preserve">Photonic crystals control light propagation the way semiconductors control electrons -- through periodic or quasiperiodic void structures that create bandgaps for specific wavelengths. The quasicrystalline IFS geometry describes optimal void structures for photonic quasicrystals with multi-directional bandgaps.</w:t>
      </w:r>
    </w:p>
    <w:p>
      <w:pPr>
        <w:spacing w:after="140"/>
      </w:pPr>
      <w:r>
        <w:rPr>
          <w:rFonts w:ascii="Arial" w:cs="Arial" w:eastAsia="Arial" w:hAnsi="Arial"/>
          <w:color w:val="1A2A3A"/>
          <w:sz w:val="20"/>
          <w:szCs w:val="20"/>
        </w:rPr>
        <w:t xml:space="preserve">Fractal antennas already use IFS geometry for multi-band response. An icosahedral IFS antenna would theoretically respond to all frequencies without a preferred orientation -- same principle as the five-fold symmetry having no preferred axis.</w:t>
      </w:r>
    </w:p>
    <w:p>
      <w:pPr>
        <w:spacing w:after="80"/>
      </w:pP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VI.  The Discovery</w:t>
      </w:r>
    </w:p>
    <w:p>
      <w:pPr>
        <w:spacing w:after="140"/>
      </w:pPr>
      <w:r>
        <w:rPr>
          <w:rFonts w:ascii="Arial" w:cs="Arial" w:eastAsia="Arial" w:hAnsi="Arial"/>
          <w:color w:val="1A2A3A"/>
          <w:sz w:val="20"/>
          <w:szCs w:val="20"/>
        </w:rPr>
        <w:t xml:space="preserve">The compound IFS limit set -- what the system calls the Menger-Kleinian hybrid -- was not derived from theory. It was </w:t>
      </w:r>
      <w:r>
        <w:rPr>
          <w:rFonts w:ascii="Arial" w:cs="Arial" w:eastAsia="Arial" w:hAnsi="Arial"/>
          <w:b/>
          <w:bCs/>
          <w:color w:val="B8962E"/>
          <w:sz w:val="20"/>
          <w:szCs w:val="20"/>
        </w:rPr>
        <w:t xml:space="preserve">navigated to empirically</w:t>
      </w:r>
      <w:r>
        <w:rPr>
          <w:rFonts w:ascii="Arial" w:cs="Arial" w:eastAsia="Arial" w:hAnsi="Arial"/>
          <w:color w:val="1A2A3A"/>
          <w:sz w:val="20"/>
          <w:szCs w:val="20"/>
        </w:rPr>
        <w:t xml:space="preserve">. The fold pretransform was applied. The parameter space was explored. A structure appeared with dual self-similarity at two scales. The mathematics was consulted afterward to name what had been found.</w:t>
      </w:r>
    </w:p>
    <w:p>
      <w:pPr>
        <w:spacing w:after="140"/>
      </w:pPr>
      <w:r>
        <w:rPr>
          <w:rFonts w:ascii="Arial" w:cs="Arial" w:eastAsia="Arial" w:hAnsi="Arial"/>
          <w:color w:val="1A2A3A"/>
          <w:sz w:val="20"/>
          <w:szCs w:val="20"/>
        </w:rPr>
        <w:t xml:space="preserve">This is the correct sequence. Most mathematical discoveries in living geometry work this way. The formal structure exists independent of whether anyone has named it. The explorer encounters it by building tools capable of going there.</w:t>
      </w:r>
    </w:p>
    <w:p>
      <w:pPr>
        <w:spacing w:after="140"/>
      </w:pPr>
      <w:r>
        <w:rPr>
          <w:rFonts w:ascii="Arial" w:cs="Arial" w:eastAsia="Arial" w:hAnsi="Arial"/>
          <w:color w:val="1A2A3A"/>
          <w:sz w:val="20"/>
          <w:szCs w:val="20"/>
        </w:rPr>
        <w:t xml:space="preserve">The closest named structures in the literature are Kleinian group limit sets (Thurston, 1982) and heterogeneous IFS (fractal stacking). The fractalforums.com community -- Knighty, Buddhi, Tglad -- explored compound IFS space from 2008 to 2015. There is no canonical reference. There is no textbook chapter. The territory is open.</w:t>
      </w:r>
    </w:p>
    <w:p>
      <w:pPr>
        <w:spacing w:after="80"/>
      </w:pPr>
    </w:p>
    <w:p>
      <w:pPr>
        <w:shd w:fill="0A1520" w:val="clear"/>
        <w:spacing w:after="120" w:before="120"/>
        <w:ind w:left="360" w:right="360"/>
      </w:pPr>
      <w:r>
        <w:rPr>
          <w:rFonts w:ascii="Arial" w:cs="Arial" w:eastAsia="Arial" w:hAnsi="Arial"/>
          <w:color w:val="7DD8C8"/>
          <w:sz w:val="20"/>
          <w:szCs w:val="20"/>
        </w:rPr>
        <w:t xml:space="preserve">The question asked -- what happens when you stack Platonic dynamics on the compound IFS -- </w:t>
      </w:r>
      <w:r>
        <w:rPr>
          <w:rFonts w:ascii="Arial" w:cs="Arial" w:eastAsia="Arial" w:hAnsi="Arial"/>
          <w:b/>
          <w:bCs/>
          <w:color w:val="B8962E"/>
          <w:sz w:val="20"/>
          <w:szCs w:val="20"/>
        </w:rPr>
        <w:t xml:space="preserve">turns out to be one of the more productive questions in contemporary geometry.</w:t>
      </w:r>
      <w:r>
        <w:rPr>
          <w:rFonts w:ascii="Arial" w:cs="Arial" w:eastAsia="Arial" w:hAnsi="Arial"/>
          <w:color w:val="7DD8C8"/>
          <w:sz w:val="20"/>
          <w:szCs w:val="20"/>
        </w:rPr>
        <w:t xml:space="preserve"> The icosahedral attractor with a Menger IFS interior is a fractal quasicrystal. Nobody has built a real-time interactive renderer for it before this system.</w:t>
      </w:r>
    </w:p>
    <w:p>
      <w:pPr>
        <w:spacing w:after="80"/>
      </w:pP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VII.  What Comes Next</w:t>
      </w:r>
    </w:p>
    <w:p>
      <w:pPr>
        <w:pStyle w:val="ListParagraph"/>
        <w:numPr>
          <w:ilvl w:val="0"/>
          <w:numId w:val="2"/>
        </w:numPr>
        <w:spacing w:after="80"/>
      </w:pPr>
      <w:r>
        <w:rPr>
          <w:rFonts w:ascii="Arial" w:cs="Arial" w:eastAsia="Arial" w:hAnsi="Arial"/>
          <w:color w:val="1A2A3A"/>
          <w:sz w:val="20"/>
          <w:szCs w:val="20"/>
        </w:rPr>
        <w:t xml:space="preserve">4D Menger projection -- the hypersponge (Hausdorff dimension ~3.585), projected from 4D into 3D cross-sections. Each floor of a building derived from this geometry would be a self-similar Menger pattern, evolving coherently as you move through it vertically.</w:t>
      </w:r>
    </w:p>
    <w:p>
      <w:pPr>
        <w:pStyle w:val="ListParagraph"/>
        <w:numPr>
          <w:ilvl w:val="0"/>
          <w:numId w:val="2"/>
        </w:numPr>
        <w:spacing w:after="80"/>
      </w:pPr>
      <w:r>
        <w:rPr>
          <w:rFonts w:ascii="Arial" w:cs="Arial" w:eastAsia="Arial" w:hAnsi="Arial"/>
          <w:color w:val="1A2A3A"/>
          <w:sz w:val="20"/>
          <w:szCs w:val="20"/>
        </w:rPr>
        <w:t xml:space="preserve">24-cell symmetry fold -- the regular 4D polytope with 576 symmetry operations, the most symmetric object in 4D space. No 3D equivalent exists. No real-time renderer has been built for it.</w:t>
      </w:r>
    </w:p>
    <w:p>
      <w:pPr>
        <w:pStyle w:val="ListParagraph"/>
        <w:numPr>
          <w:ilvl w:val="0"/>
          <w:numId w:val="2"/>
        </w:numPr>
        <w:spacing w:after="80"/>
      </w:pPr>
      <w:r>
        <w:rPr>
          <w:rFonts w:ascii="Arial" w:cs="Arial" w:eastAsia="Arial" w:hAnsi="Arial"/>
          <w:color w:val="1A2A3A"/>
          <w:sz w:val="20"/>
          <w:szCs w:val="20"/>
        </w:rPr>
        <w:t xml:space="preserve">Structural analysis -- take the OBJ export at mi=4, import to Grasshopper, run FEM stress distribution. The hypothesis: the Menger geometry at scale 3 outperforms a solid box of the same bounding volume in load distribution because the recursive voids create a natural arch hierarchy.</w:t>
      </w:r>
    </w:p>
    <w:p>
      <w:pPr>
        <w:pStyle w:val="ListParagraph"/>
        <w:numPr>
          <w:ilvl w:val="0"/>
          <w:numId w:val="2"/>
        </w:numPr>
        <w:spacing w:after="80"/>
      </w:pPr>
      <w:r>
        <w:rPr>
          <w:rFonts w:ascii="Arial" w:cs="Arial" w:eastAsia="Arial" w:hAnsi="Arial"/>
          <w:color w:val="1A2A3A"/>
          <w:sz w:val="20"/>
          <w:szCs w:val="20"/>
        </w:rPr>
        <w:t xml:space="preserve">Hausdorff dimension estimation -- box-counting analysis across multiple resolutions on exported meshes. The compound IFS attractor has a different Hausdorff dimension than pure Menger. Measuring it would be the first formal characterization of this specific class of attractor.</w:t>
      </w:r>
    </w:p>
    <w:p>
      <w:pPr>
        <w:spacing w:after="80"/>
      </w:pPr>
    </w:p>
    <w:p>
      <w:pPr>
        <w:pBdr>
          <w:bottom w:val="single" w:color="00C4AD" w:sz="4" w:space="1"/>
        </w:pBdr>
        <w:spacing w:after="300" w:before="300"/>
      </w:pPr>
    </w:p>
    <w:p>
      <w:pPr>
        <w:pStyle w:val="Heading1"/>
        <w:pBdr>
          <w:bottom w:val="single" w:color="00C4AD" w:sz="6" w:space="2"/>
        </w:pBdr>
        <w:spacing w:after="180" w:before="480"/>
      </w:pPr>
      <w:r>
        <w:rPr>
          <w:rFonts w:ascii="Arial" w:cs="Arial" w:eastAsia="Arial" w:hAnsi="Arial"/>
          <w:b/>
          <w:bCs/>
          <w:color w:val="00C4AD"/>
          <w:sz w:val="40"/>
          <w:szCs w:val="40"/>
        </w:rPr>
        <w:t xml:space="preserve">VIII.  Technical Reference</w:t>
      </w:r>
    </w:p>
    <w:p>
      <w:pPr>
        <w:pStyle w:val="Heading2"/>
        <w:spacing w:after="120" w:before="360"/>
      </w:pPr>
      <w:r>
        <w:rPr>
          <w:rFonts w:ascii="Arial" w:cs="Arial" w:eastAsia="Arial" w:hAnsi="Arial"/>
          <w:b/>
          <w:bCs/>
          <w:color w:val="B8962E"/>
          <w:sz w:val="28"/>
          <w:szCs w:val="28"/>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DRAG</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Orbital camera rotation</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SCROLL</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Zoom (camera distance)</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SHIFT+DRAG</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Reposition key light in real-time</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6B4E97"/>
                <w:sz w:val="18"/>
                <w:szCs w:val="18"/>
              </w:rPr>
              <w:t xml:space="preserve">RANDOM</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Safe random parameter set with chaos guards</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6B4E97"/>
                <w:sz w:val="18"/>
                <w:szCs w:val="18"/>
              </w:rPr>
              <w:t xml:space="preserve">MORPH</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Continuous interpolation through parameter space</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PHI CUT</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Golden ratio section -- reveals hidden interior</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B8962E"/>
                <w:sz w:val="18"/>
                <w:szCs w:val="18"/>
              </w:rPr>
              <w:t xml:space="preserve">REVEAL</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Animated phi-plane sweep through structure</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PNG EXPORT</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Direct canvas readback</w:t>
            </w:r>
          </w:p>
        </w:tc>
      </w:tr>
      <w:tr>
        <w:tc>
          <w:tcPr>
            <w:tcW w:type="dxa" w:w="3600"/>
            <w:tcBorders>
              <w:top w:val="single" w:color="C8D8E8" w:sz="2"/>
              <w:left w:val="single" w:color="C8D8E8" w:sz="2"/>
              <w:bottom w:val="single" w:color="C8D8E8" w:sz="2"/>
              <w:right w:val="single" w:color="C8D8E8" w:sz="2"/>
            </w:tcBorders>
            <w:shd w:fill="0D1B2A" w:val="clear"/>
            <w:tcMar>
              <w:top w:type="dxa" w:w="60"/>
              <w:left w:type="dxa" w:w="120"/>
              <w:bottom w:type="dxa" w:w="60"/>
              <w:right w:type="dxa" w:w="120"/>
            </w:tcMar>
          </w:tcPr>
          <w:p>
            <w:r>
              <w:rPr>
                <w:rFonts w:ascii="Courier New" w:cs="Courier New" w:eastAsia="Courier New" w:hAnsi="Courier New"/>
                <w:b/>
                <w:bCs/>
                <w:color w:val="00C4AD"/>
                <w:sz w:val="18"/>
                <w:szCs w:val="18"/>
              </w:rPr>
              <w:t xml:space="preserve">OBJ EXPORT</w:t>
            </w:r>
          </w:p>
        </w:tc>
        <w:tc>
          <w:tcPr>
            <w:tcW w:type="dxa" w:w="5760"/>
            <w:tcBorders>
              <w:top w:val="single" w:color="C8D8E8" w:sz="2"/>
              <w:left w:val="single" w:color="C8D8E8" w:sz="2"/>
              <w:bottom w:val="single" w:color="C8D8E8" w:sz="2"/>
              <w:right w:val="single" w:color="C8D8E8" w:sz="2"/>
            </w:tcBorders>
            <w:shd w:fill="F5F8FA" w:val="clear"/>
            <w:tcMar>
              <w:top w:type="dxa" w:w="60"/>
              <w:left w:type="dxa" w:w="120"/>
              <w:bottom w:type="dxa" w:w="60"/>
              <w:right w:type="dxa" w:w="120"/>
            </w:tcMar>
          </w:tcPr>
          <w:p>
            <w:r>
              <w:rPr>
                <w:rFonts w:ascii="Courier New" w:cs="Courier New" w:eastAsia="Courier New" w:hAnsi="Courier New"/>
                <w:color w:val="556677"/>
                <w:sz w:val="18"/>
                <w:szCs w:val="18"/>
              </w:rPr>
              <w:t xml:space="preserve">Marching cubes mesh via Blob URL modal</w:t>
            </w:r>
          </w:p>
        </w:tc>
      </w:tr>
    </w:tbl>
    <w:p>
      <w:pPr>
        <w:spacing w:after="80"/>
      </w:pPr>
    </w:p>
    <w:p>
      <w:pPr>
        <w:pStyle w:val="Heading2"/>
        <w:spacing w:after="120" w:before="360"/>
      </w:pPr>
      <w:r>
        <w:rPr>
          <w:rFonts w:ascii="Arial" w:cs="Arial" w:eastAsia="Arial" w:hAnsi="Arial"/>
          <w:b/>
          <w:bCs/>
          <w:color w:val="B8962E"/>
          <w:sz w:val="28"/>
          <w:szCs w:val="28"/>
        </w:rPr>
        <w:t xml:space="preserve">Mathematical Sources</w:t>
      </w:r>
    </w:p>
    <w:p>
      <w:pPr>
        <w:pStyle w:val="ListParagraph"/>
        <w:numPr>
          <w:ilvl w:val="0"/>
          <w:numId w:val="2"/>
        </w:numPr>
        <w:spacing w:after="80"/>
      </w:pPr>
      <w:r>
        <w:rPr>
          <w:rFonts w:ascii="Arial" w:cs="Arial" w:eastAsia="Arial" w:hAnsi="Arial"/>
          <w:color w:val="1A2A3A"/>
          <w:sz w:val="20"/>
          <w:szCs w:val="20"/>
        </w:rPr>
        <w:t xml:space="preserve">Cantor, G. (1883). Foundations of the theory of manifolds. Recursive set subtraction -- the conceptual ancestor.</w:t>
      </w:r>
    </w:p>
    <w:p>
      <w:pPr>
        <w:pStyle w:val="ListParagraph"/>
        <w:numPr>
          <w:ilvl w:val="0"/>
          <w:numId w:val="2"/>
        </w:numPr>
        <w:spacing w:after="80"/>
      </w:pPr>
      <w:r>
        <w:rPr>
          <w:rFonts w:ascii="Arial" w:cs="Arial" w:eastAsia="Arial" w:hAnsi="Arial"/>
          <w:color w:val="1A2A3A"/>
          <w:sz w:val="20"/>
          <w:szCs w:val="20"/>
        </w:rPr>
        <w:t xml:space="preserve">Menger, K. (1926). Allgemeine Raume und Cartesische Raume. The Menger Sponge construction.</w:t>
      </w:r>
    </w:p>
    <w:p>
      <w:pPr>
        <w:pStyle w:val="ListParagraph"/>
        <w:numPr>
          <w:ilvl w:val="0"/>
          <w:numId w:val="2"/>
        </w:numPr>
        <w:spacing w:after="80"/>
      </w:pPr>
      <w:r>
        <w:rPr>
          <w:rFonts w:ascii="Arial" w:cs="Arial" w:eastAsia="Arial" w:hAnsi="Arial"/>
          <w:color w:val="1A2A3A"/>
          <w:sz w:val="20"/>
          <w:szCs w:val="20"/>
        </w:rPr>
        <w:t xml:space="preserve">Klein, F. (1872). Erlangen Program. Symmetry groups as the foundation of geometry.</w:t>
      </w:r>
    </w:p>
    <w:p>
      <w:pPr>
        <w:pStyle w:val="ListParagraph"/>
        <w:numPr>
          <w:ilvl w:val="0"/>
          <w:numId w:val="2"/>
        </w:numPr>
        <w:spacing w:after="80"/>
      </w:pPr>
      <w:r>
        <w:rPr>
          <w:rFonts w:ascii="Arial" w:cs="Arial" w:eastAsia="Arial" w:hAnsi="Arial"/>
          <w:color w:val="1A2A3A"/>
          <w:sz w:val="20"/>
          <w:szCs w:val="20"/>
        </w:rPr>
        <w:t xml:space="preserve">Thurston, W.P. (1997). Three-Dimensional Geometry and Topology. Kleinian groups and hyperbolic 3-manifolds.</w:t>
      </w:r>
    </w:p>
    <w:p>
      <w:pPr>
        <w:pStyle w:val="ListParagraph"/>
        <w:numPr>
          <w:ilvl w:val="0"/>
          <w:numId w:val="2"/>
        </w:numPr>
        <w:spacing w:after="80"/>
      </w:pPr>
      <w:r>
        <w:rPr>
          <w:rFonts w:ascii="Arial" w:cs="Arial" w:eastAsia="Arial" w:hAnsi="Arial"/>
          <w:color w:val="1A2A3A"/>
          <w:sz w:val="20"/>
          <w:szCs w:val="20"/>
        </w:rPr>
        <w:t xml:space="preserve">Shechtman, D. (1982). Metallic Phase with Long-Range Orientational Order and No Translational Symmetry. The discovery of quasicrystals.</w:t>
      </w:r>
    </w:p>
    <w:p>
      <w:pPr>
        <w:pStyle w:val="ListParagraph"/>
        <w:numPr>
          <w:ilvl w:val="0"/>
          <w:numId w:val="2"/>
        </w:numPr>
        <w:spacing w:after="80"/>
      </w:pPr>
      <w:r>
        <w:rPr>
          <w:rFonts w:ascii="Arial" w:cs="Arial" w:eastAsia="Arial" w:hAnsi="Arial"/>
          <w:color w:val="1A2A3A"/>
          <w:sz w:val="20"/>
          <w:szCs w:val="20"/>
        </w:rPr>
        <w:t xml:space="preserve">Lorensen, W.E., Cline, H.E. (1987). Marching Cubes: A High Resolution 3D Surface Construction Algorithm. SIGGRAPH.</w:t>
      </w:r>
    </w:p>
    <w:p>
      <w:pPr>
        <w:pStyle w:val="ListParagraph"/>
        <w:numPr>
          <w:ilvl w:val="0"/>
          <w:numId w:val="2"/>
        </w:numPr>
        <w:spacing w:after="80"/>
      </w:pPr>
      <w:r>
        <w:rPr>
          <w:rFonts w:ascii="Arial" w:cs="Arial" w:eastAsia="Arial" w:hAnsi="Arial"/>
          <w:color w:val="1A2A3A"/>
          <w:sz w:val="20"/>
          <w:szCs w:val="20"/>
        </w:rPr>
        <w:t xml:space="preserve">Knighty. fractalforums.com (2010-2013). Menger IFS folding method and cross-cylinder DE. Primary algorithmic source.</w:t>
      </w:r>
    </w:p>
    <w:p>
      <w:pPr>
        <w:pStyle w:val="ListParagraph"/>
        <w:numPr>
          <w:ilvl w:val="0"/>
          <w:numId w:val="2"/>
        </w:numPr>
        <w:spacing w:after="80"/>
      </w:pPr>
      <w:r>
        <w:rPr>
          <w:rFonts w:ascii="Arial" w:cs="Arial" w:eastAsia="Arial" w:hAnsi="Arial"/>
          <w:color w:val="1A2A3A"/>
          <w:sz w:val="20"/>
          <w:szCs w:val="20"/>
        </w:rPr>
        <w:t xml:space="preserve">Quilez, I. (iquilezles.org). Distance estimator theory, finite-difference normals, AO cone sampling.</w:t>
      </w:r>
    </w:p>
    <w:p>
      <w:pPr>
        <w:spacing w:after="80"/>
      </w:pPr>
    </w:p>
    <w:p>
      <w:pPr>
        <w:pBdr>
          <w:bottom w:val="single" w:color="00C4AD" w:sz="4" w:space="1"/>
        </w:pBdr>
        <w:spacing w:after="300" w:before="300"/>
      </w:pPr>
    </w:p>
    <w:p>
      <w:pPr>
        <w:spacing w:after="0" w:before="300"/>
        <w:jc w:val="center"/>
      </w:pPr>
      <w:r>
        <w:rPr>
          <w:rFonts w:ascii="Arial" w:cs="Arial" w:eastAsia="Arial" w:hAnsi="Arial"/>
          <w:color w:val="556677"/>
          <w:sz w:val="16"/>
          <w:szCs w:val="16"/>
        </w:rPr>
        <w:t xml:space="preserve">UUON Foundation  //  Kassel, Germany  //  queuePIT + Platonic IFS  //  Proprietary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6677"/>
        <w:sz w:val="16"/>
        <w:szCs w:val="16"/>
      </w:rPr>
      <w:t xml:space="preserve">UUON Foundation  //  queuePIT + Platonic IFS  //  </w:t>
    </w:r>
    <w:r>
      <w:rPr>
        <w:rFonts w:ascii="Arial" w:cs="Arial" w:eastAsia="Arial" w:hAnsi="Arial"/>
        <w:color w:val="5566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96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0C4AD"/>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B896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B4E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2026-05-09T17:59:54.828Z</dcterms:created>
  <dcterms:modified xsi:type="dcterms:W3CDTF">2026-05-09T17:59:54.841Z</dcterms:modified>
</cp:coreProperties>
</file>

<file path=docProps/custom.xml><?xml version="1.0" encoding="utf-8"?>
<Properties xmlns="http://schemas.openxmlformats.org/officeDocument/2006/custom-properties" xmlns:vt="http://schemas.openxmlformats.org/officeDocument/2006/docPropsVTypes"/>
</file>