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xmlns:v="urn:schemas-microsoft-com:vml" xmlns:o="urn:schemas-microsoft-com:office:office">
  <w:body>
    <w:p>
      <w:pPr>
        <w:spacing w:before="480" w:after="480" w:line="288" w:lineRule="auto"/>
        <w:ind w:left="0"/>
      </w:pPr>
      <w:r>
        <w:rPr>
          <w:rFonts w:eastAsia="等线" w:ascii="Arial" w:cs="Arial" w:hAnsi="Arial"/>
          <w:b w:val="true"/>
          <w:sz w:val="52"/>
        </w:rPr>
        <w:t>沙漠定日镜场风光协同防护发电系统设计说明书</w:t>
      </w:r>
    </w:p>
    <w:p>
      <w:pPr>
        <w:pStyle w:val="2"/>
        <w:spacing w:before="320" w:after="120" w:line="288" w:lineRule="auto"/>
        <w:ind w:left="0"/>
        <w:jc w:val="left"/>
        <w:outlineLvl w:val="1"/>
      </w:pPr>
      <w:bookmarkStart w:name="heading_0" w:id="0"/>
      <w:r>
        <w:rPr>
          <w:rFonts w:eastAsia="等线" w:ascii="Arial" w:cs="Arial" w:hAnsi="Arial"/>
          <w:b w:val="true"/>
          <w:sz w:val="32"/>
        </w:rPr>
        <w:t>作品内容简介</w:t>
      </w:r>
      <w:bookmarkEnd w:id="0"/>
    </w:p>
    <w:p>
      <w:pPr>
        <w:spacing w:before="120" w:after="120" w:line="288" w:lineRule="auto"/>
        <w:ind w:left="0" w:firstLine="420"/>
        <w:jc w:val="left"/>
      </w:pPr>
      <w:r>
        <w:rPr>
          <w:rFonts w:eastAsia="等线" w:ascii="Arial" w:cs="Arial" w:hAnsi="Arial"/>
          <w:sz w:val="22"/>
        </w:rPr>
        <w:t>针对西部沙漠定日镜场面临的强风沙侵蚀镜面、风资源未充分利用的核心问题，本作品提出“挡风护镜+风力发电”一体化解决方案：在定日镜场周边加装集成风力发电机的挡风墙，通过流体仿真优化结构、智能控制稳定供电、可视化监控保障运维来保证整个系统的稳定运行。</w:t>
      </w:r>
    </w:p>
    <w:p>
      <w:pPr>
        <w:spacing w:before="120" w:after="120" w:line="288" w:lineRule="auto"/>
        <w:ind w:left="0" w:firstLine="420"/>
        <w:jc w:val="left"/>
      </w:pPr>
      <w:r>
        <w:rPr>
          <w:rFonts w:eastAsia="等线" w:ascii="Arial" w:cs="Arial" w:hAnsi="Arial"/>
          <w:sz w:val="22"/>
        </w:rPr>
        <w:t>本项目核心内容包括三部分： 1）基于Fluent仿真完成墙面前后风速、导风口风速及风机加装后墙后风速分布的精准测定； 2）通过Simulink搭建发电系统控制模型，采用闭环控制策略调节风机转速，实现电压电流稳定输出； 3）开发可视化监控网页平台，具备系统状态预测、实时监控及故障分析功能。该系统可有效降低镜场风场干扰，提升光热发电稳定性，同时将闲置风能转化为绿色电能，兼具节能减排与经济收益双重价值。</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研制背景及意义</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1.1 行业现状与问题</w:t>
      </w:r>
      <w:bookmarkEnd w:id="2"/>
    </w:p>
    <w:p>
      <w:pPr>
        <w:spacing w:before="120" w:after="120" w:line="288" w:lineRule="auto"/>
        <w:ind w:left="0" w:firstLine="420"/>
        <w:jc w:val="left"/>
      </w:pPr>
      <w:r>
        <w:rPr>
          <w:rFonts w:eastAsia="等线" w:ascii="Arial" w:cs="Arial" w:hAnsi="Arial"/>
          <w:sz w:val="22"/>
        </w:rPr>
        <w:t>我国西部沙漠、戈壁地区光照充足、风能富集，在沙漠戈壁中建设光热、光伏电站已成为世界各国争相发展趋势，光热电站定日镜作为太阳能热发电站的主要设备，１００ＭＷ级镜场占地面积１０ｋｍ２左右，布置在光照无遮挡、平坦的沙漠或戈壁区域；由于在空旷场地中四周没有足够大的屏蔽物来缓解空气流动，场地内往往风力作用比较大，而定日镜数量多、质量轻、柔性大、风敏感性强，为保证追光性能、节能效果及经济性，定日镜结构设计抗风能力有限[1]。同时，该区域年平均风速达7m/s以上，丰富的风能资源未被有效利用，存在能源浪费现象。针对上述问题，传统解决方案中，单独建设挡风墙仅能实现防护功能，单独建设风电场则占地面积大、与光热电站协同性差，难以兼顾防护需求与能源利用效率。</w:t>
      </w:r>
    </w:p>
    <w:p>
      <w:pPr>
        <w:spacing w:before="120" w:after="120" w:line="288" w:lineRule="auto"/>
        <w:ind w:left="0" w:firstLine="420"/>
        <w:jc w:val="left"/>
      </w:pPr>
      <w:r>
        <w:rPr>
          <w:rFonts w:eastAsia="等线" w:ascii="Arial" w:cs="Arial" w:hAnsi="Arial"/>
          <w:sz w:val="22"/>
        </w:rPr>
        <w:t>传统挡风墙虽然能起到较好的减速效应，然而挡风墙在下风向会产生较大的湍流，高湍流度会导致风速的恢复距离更加靠近挡风墙，从而降低挡风墙的防护效果，传统挡风墙采用提高孔隙率的方式来降低湍流，但是低孔隙率又会降低对风力的减弱效果，而且低孔隙率挡风墙所产生的高湍流度会导致风速的恢复距离更加靠近挡风墙，从而降低挡风墙的防护效果。</w:t>
      </w:r>
    </w:p>
    <w:p>
      <w:pPr>
        <w:spacing w:before="120" w:after="120" w:line="288" w:lineRule="auto"/>
        <w:ind w:left="0"/>
        <w:jc w:val="center"/>
      </w:pPr>
      <w:r>
        <w:drawing>
          <wp:inline distT="0" distR="0" distB="0" distL="0">
            <wp:extent cx="5257800" cy="32766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276600"/>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sz w:val="30"/>
        </w:rPr>
        <w:t>1.2 研制意义</w:t>
      </w:r>
      <w:bookmarkEnd w:id="3"/>
    </w:p>
    <w:p>
      <w:pPr>
        <w:spacing w:before="120" w:after="120" w:line="288" w:lineRule="auto"/>
        <w:ind w:left="0" w:firstLine="420"/>
        <w:jc w:val="left"/>
      </w:pPr>
      <w:r>
        <w:rPr>
          <w:rFonts w:eastAsia="等线" w:ascii="Arial" w:cs="Arial" w:hAnsi="Arial"/>
          <w:sz w:val="22"/>
        </w:rPr>
        <w:t>本项目通过集成化设计实现三大目标：1）降低镜场风速30%-50%，减少风沙对定日镜的侵蚀，间接降低设备更换带来的资源消耗与碳排放；2）将被阻挡的风能转化为电能，替代部分化石能源，实现直接减排；3）通过共用基础设施，降低光热电站与风电场的综合建设成本，提升土地利用效率。项目契合国家千万千瓦级风电基地建设战略，为沙漠地区新能源综合利用提供了可落地的技术方案，兼具环境、经济与社会效益。</w:t>
      </w:r>
    </w:p>
    <w:p>
      <w:pPr>
        <w:spacing w:before="120" w:after="120" w:line="288" w:lineRule="auto"/>
        <w:ind w:left="0" w:firstLine="0"/>
        <w:jc w:val="left"/>
      </w:pPr>
    </w:p>
    <w:p>
      <w:pPr>
        <w:pStyle w:val="2"/>
        <w:spacing w:before="320" w:after="120" w:line="288" w:lineRule="auto"/>
        <w:ind w:left="0"/>
        <w:jc w:val="left"/>
        <w:outlineLvl w:val="1"/>
      </w:pPr>
      <w:bookmarkStart w:name="heading_4" w:id="4"/>
      <w:r>
        <w:rPr>
          <w:rFonts w:eastAsia="等线" w:ascii="Arial" w:cs="Arial" w:hAnsi="Arial"/>
          <w:b w:val="true"/>
          <w:sz w:val="32"/>
        </w:rPr>
        <w:t>2 设计方案</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2.1挡风墙结构设计</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2.1.1挡风墙形状设计</w:t>
      </w:r>
      <w:bookmarkEnd w:id="6"/>
    </w:p>
    <w:p>
      <w:pPr>
        <w:spacing w:before="120" w:after="120" w:line="288" w:lineRule="auto"/>
        <w:ind w:left="0" w:firstLine="420"/>
        <w:jc w:val="left"/>
      </w:pPr>
      <w:r>
        <w:rPr>
          <w:rFonts w:eastAsia="等线" w:ascii="Arial" w:cs="Arial" w:hAnsi="Arial"/>
          <w:sz w:val="22"/>
        </w:rPr>
        <w:t>为解决传统光热电站风沙侵蚀痛点并兼顾风能捕获，本项目对挡风墙构型进行了三个阶段的迭代优化：</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809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1600200" cy="8096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9620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1600200" cy="9620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10287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1600200" cy="1028700"/>
                          </a:xfrm>
                          <a:prstGeom prst="rect">
                            <a:avLst/>
                          </a:prstGeom>
                        </pic:spPr>
                      </pic:pic>
                    </a:graphicData>
                  </a:graphic>
                </wp:inline>
              </w:drawing>
            </w:r>
          </w:p>
        </w:tc>
      </w:tr>
    </w:tbl>
    <w:p>
      <w:pPr>
        <w:numPr>
          <w:numId w:val="1"/>
        </w:numPr>
        <w:spacing w:before="120" w:after="120" w:line="288" w:lineRule="auto"/>
        <w:ind w:left="0"/>
        <w:jc w:val="left"/>
      </w:pPr>
      <w:r>
        <w:rPr>
          <w:rFonts w:eastAsia="等线" w:ascii="Arial" w:cs="Arial" w:hAnsi="Arial"/>
          <w:sz w:val="22"/>
        </w:rPr>
        <w:t>风机嵌入式：在挡风墙中直接开槽并将风机嵌入其中，该构型使未嵌入风机的部分仍起到传统挡风墙的作用，但会产生严重的附面层分离，墙后湍流强度大，导致光热镜场风速恢复距离极短（仅约为墙高的 2-3 倍），且强湍流会引起定日镜高频颤振。</w:t>
      </w:r>
    </w:p>
    <w:p>
      <w:pPr>
        <w:spacing w:before="120" w:after="120" w:line="288" w:lineRule="auto"/>
        <w:ind w:left="0"/>
        <w:jc w:val="left"/>
      </w:pPr>
      <w:r>
        <w:rPr>
          <w:rFonts w:eastAsia="等线" w:ascii="Arial" w:cs="Arial" w:hAnsi="Arial"/>
          <w:sz w:val="22"/>
        </w:rPr>
        <w:t xml:space="preserve">  仿真结果显示，虽然中间通道加速量大，但直角转折处产生严重的附面层分离，导致导风口边界出现强烈涡旋。墙后高速尾流拖尾较长，且湍流强度大，对后方定日镜的防护效果最差。</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7"/>
        <w:gridCol w:w="2756"/>
        <w:gridCol w:w="2756"/>
      </w:tblGrid>
      <w:tr>
        <w:tc>
          <w:tcPr>
            <w:tcW w:w="2767" w:type="dxa"/>
            <w:tcMar>
              <w:top w:type="dxa" w:w="60"/>
              <w:left w:type="dxa" w:w="120"/>
              <w:bottom w:type="dxa" w:w="30"/>
              <w:right w:type="dxa" w:w="120"/>
            </w:tcMar>
          </w:tcPr>
          <w:p>
            <w:pPr>
              <w:spacing w:before="120" w:after="120" w:line="288" w:lineRule="auto"/>
              <w:ind w:left="0"/>
              <w:jc w:val="center"/>
            </w:pPr>
            <w:r>
              <w:drawing>
                <wp:inline distT="0" distR="0" distB="0" distL="0">
                  <wp:extent cx="1600200" cy="10001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1600200" cy="1000125"/>
                          </a:xfrm>
                          <a:prstGeom prst="rect">
                            <a:avLst/>
                          </a:prstGeom>
                        </pic:spPr>
                      </pic:pic>
                    </a:graphicData>
                  </a:graphic>
                </wp:inline>
              </w:drawing>
            </w:r>
          </w:p>
        </w:tc>
        <w:tc>
          <w:tcPr>
            <w:tcW w:w="2756" w:type="dxa"/>
            <w:tcMar>
              <w:top w:type="dxa" w:w="60"/>
              <w:left w:type="dxa" w:w="120"/>
              <w:bottom w:type="dxa" w:w="30"/>
              <w:right w:type="dxa" w:w="120"/>
            </w:tcMar>
          </w:tcPr>
          <w:p>
            <w:pPr>
              <w:spacing w:before="120" w:after="120" w:line="288" w:lineRule="auto"/>
              <w:ind w:left="0"/>
              <w:jc w:val="center"/>
            </w:pPr>
            <w:r>
              <w:drawing>
                <wp:inline distT="0" distR="0" distB="0" distL="0">
                  <wp:extent cx="1590675" cy="10001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1590675" cy="1000125"/>
                          </a:xfrm>
                          <a:prstGeom prst="rect">
                            <a:avLst/>
                          </a:prstGeom>
                        </pic:spPr>
                      </pic:pic>
                    </a:graphicData>
                  </a:graphic>
                </wp:inline>
              </w:drawing>
            </w:r>
          </w:p>
        </w:tc>
        <w:tc>
          <w:tcPr>
            <w:tcW w:w="2756" w:type="dxa"/>
            <w:tcMar>
              <w:top w:type="dxa" w:w="60"/>
              <w:left w:type="dxa" w:w="120"/>
              <w:bottom w:type="dxa" w:w="30"/>
              <w:right w:type="dxa" w:w="120"/>
            </w:tcMar>
          </w:tcPr>
          <w:p>
            <w:pPr>
              <w:spacing w:before="120" w:after="120" w:line="288" w:lineRule="auto"/>
              <w:ind w:left="0"/>
              <w:jc w:val="center"/>
            </w:pPr>
            <w:r>
              <w:drawing>
                <wp:inline distT="0" distR="0" distB="0" distL="0">
                  <wp:extent cx="1590675" cy="10001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1590675" cy="1000125"/>
                          </a:xfrm>
                          <a:prstGeom prst="rect">
                            <a:avLst/>
                          </a:prstGeom>
                        </pic:spPr>
                      </pic:pic>
                    </a:graphicData>
                  </a:graphic>
                </wp:inline>
              </w:drawing>
            </w:r>
          </w:p>
        </w:tc>
      </w:tr>
    </w:tbl>
    <w:p>
      <w:pPr>
        <w:spacing w:before="120" w:after="120" w:line="288" w:lineRule="auto"/>
        <w:ind w:left="0"/>
        <w:jc w:val="center"/>
      </w:pPr>
      <w:r>
        <w:rPr>
          <w:rFonts w:eastAsia="等线" w:ascii="Arial" w:cs="Arial" w:hAnsi="Arial"/>
          <w:sz w:val="22"/>
        </w:rPr>
        <w:t>矩形直墙-侧视图       矩形直墙-俯视图       矩形直墙-正视图</w:t>
      </w:r>
    </w:p>
    <w:p>
      <w:pPr>
        <w:numPr>
          <w:numId w:val="2"/>
        </w:numPr>
        <w:spacing w:before="120" w:after="120" w:line="288" w:lineRule="auto"/>
        <w:ind w:left="0"/>
        <w:jc w:val="left"/>
      </w:pPr>
      <w:r>
        <w:rPr>
          <w:rFonts w:eastAsia="等线" w:ascii="Arial" w:cs="Arial" w:hAnsi="Arial"/>
          <w:sz w:val="22"/>
        </w:rPr>
        <w:t>棱锥立柱式：利用棱锥面的导流作用构建明显的文丘里效应，旨在大幅提升导风口风速，进而提高风能利用率。仿真结果显示，虽然导流通道内形成了明显的加速区，风速增强比可达 1.5 倍，但棱锥锐角迎风面会导致严重的激波阻力与应力集中。气流在进入喉道前发生剧烈压缩，导致风机叶片承受不均匀的冲击载荷，严重影响风机疲劳寿命。</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3"/>
        <w:gridCol w:w="2763"/>
        <w:gridCol w:w="2752"/>
      </w:tblGrid>
      <w:tr>
        <w:tc>
          <w:tcPr>
            <w:tcW w:w="2763" w:type="dxa"/>
            <w:tcMar>
              <w:top w:type="dxa" w:w="60"/>
              <w:left w:type="dxa" w:w="120"/>
              <w:bottom w:type="dxa" w:w="30"/>
              <w:right w:type="dxa" w:w="120"/>
            </w:tcMar>
          </w:tcPr>
          <w:p>
            <w:pPr>
              <w:spacing w:before="120" w:after="120" w:line="288" w:lineRule="auto"/>
              <w:ind w:left="0"/>
              <w:jc w:val="center"/>
            </w:pPr>
            <w:r>
              <w:drawing>
                <wp:inline distT="0" distR="0" distB="0" distL="0">
                  <wp:extent cx="1600200" cy="10001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1600200" cy="1000125"/>
                          </a:xfrm>
                          <a:prstGeom prst="rect">
                            <a:avLst/>
                          </a:prstGeom>
                        </pic:spPr>
                      </pic:pic>
                    </a:graphicData>
                  </a:graphic>
                </wp:inline>
              </w:drawing>
            </w:r>
          </w:p>
        </w:tc>
        <w:tc>
          <w:tcPr>
            <w:tcW w:w="2763" w:type="dxa"/>
            <w:tcMar>
              <w:top w:type="dxa" w:w="60"/>
              <w:left w:type="dxa" w:w="120"/>
              <w:bottom w:type="dxa" w:w="30"/>
              <w:right w:type="dxa" w:w="120"/>
            </w:tcMar>
          </w:tcPr>
          <w:p>
            <w:pPr>
              <w:spacing w:before="120" w:after="120" w:line="288" w:lineRule="auto"/>
              <w:ind w:left="0"/>
              <w:jc w:val="center"/>
            </w:pPr>
            <w:r>
              <w:drawing>
                <wp:inline distT="0" distR="0" distB="0" distL="0">
                  <wp:extent cx="1600200" cy="10001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1600200" cy="1000125"/>
                          </a:xfrm>
                          <a:prstGeom prst="rect">
                            <a:avLst/>
                          </a:prstGeom>
                        </pic:spPr>
                      </pic:pic>
                    </a:graphicData>
                  </a:graphic>
                </wp:inline>
              </w:drawing>
            </w:r>
          </w:p>
        </w:tc>
        <w:tc>
          <w:tcPr>
            <w:tcW w:w="2752" w:type="dxa"/>
            <w:tcMar>
              <w:top w:type="dxa" w:w="60"/>
              <w:left w:type="dxa" w:w="120"/>
              <w:bottom w:type="dxa" w:w="30"/>
              <w:right w:type="dxa" w:w="120"/>
            </w:tcMar>
          </w:tcPr>
          <w:p>
            <w:pPr>
              <w:spacing w:before="120" w:after="120" w:line="288" w:lineRule="auto"/>
              <w:ind w:left="0"/>
              <w:jc w:val="center"/>
            </w:pPr>
            <w:r>
              <w:drawing>
                <wp:inline distT="0" distR="0" distB="0" distL="0">
                  <wp:extent cx="1590675" cy="10001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1590675" cy="1000125"/>
                          </a:xfrm>
                          <a:prstGeom prst="rect">
                            <a:avLst/>
                          </a:prstGeom>
                        </pic:spPr>
                      </pic:pic>
                    </a:graphicData>
                  </a:graphic>
                </wp:inline>
              </w:drawing>
            </w:r>
          </w:p>
        </w:tc>
      </w:tr>
    </w:tbl>
    <w:p>
      <w:pPr>
        <w:spacing w:before="120" w:after="120" w:line="288" w:lineRule="auto"/>
        <w:ind w:left="0"/>
        <w:jc w:val="center"/>
      </w:pPr>
      <w:r>
        <w:rPr>
          <w:rFonts w:eastAsia="等线" w:ascii="Arial" w:cs="Arial" w:hAnsi="Arial"/>
          <w:sz w:val="22"/>
        </w:rPr>
        <w:t>棱锥立柱式-侧视图       棱锥立柱式-俯视图       棱锥立柱式-正视图</w:t>
      </w:r>
    </w:p>
    <w:p>
      <w:pPr>
        <w:numPr>
          <w:numId w:val="3"/>
        </w:numPr>
        <w:spacing w:before="120" w:after="120" w:line="288" w:lineRule="auto"/>
        <w:ind w:left="0"/>
        <w:jc w:val="left"/>
      </w:pPr>
      <w:r>
        <w:rPr>
          <w:rFonts w:eastAsia="等线" w:ascii="Arial" w:cs="Arial" w:hAnsi="Arial"/>
          <w:sz w:val="22"/>
        </w:rPr>
        <w:t xml:space="preserve">流线型半圆立柱式：基于空气动力学翼型原理，采用半圆弧面作为迎风前缘。仿真俯视图显示，圆滑的流线型表面引导气流平稳加速进入导风通道，减少了入口处的涡流损失，在保证风速增强比（1.2-1.4倍）的同时，显著降低了气流的湍流度；立柱后方形成的尾流区更加平缓，有效延长了镜场的低风速保护区范围。  </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7"/>
        <w:gridCol w:w="2756"/>
        <w:gridCol w:w="2756"/>
      </w:tblGrid>
      <w:tr>
        <w:tc>
          <w:tcPr>
            <w:tcW w:w="2767" w:type="dxa"/>
            <w:tcMar>
              <w:top w:type="dxa" w:w="60"/>
              <w:left w:type="dxa" w:w="120"/>
              <w:bottom w:type="dxa" w:w="30"/>
              <w:right w:type="dxa" w:w="120"/>
            </w:tcMar>
          </w:tcPr>
          <w:p>
            <w:pPr>
              <w:spacing w:before="120" w:after="120" w:line="288" w:lineRule="auto"/>
              <w:ind w:left="0"/>
              <w:jc w:val="center"/>
            </w:pPr>
            <w:r>
              <w:drawing>
                <wp:inline distT="0" distR="0" distB="0" distL="0">
                  <wp:extent cx="1600200" cy="10001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1600200" cy="1000125"/>
                          </a:xfrm>
                          <a:prstGeom prst="rect">
                            <a:avLst/>
                          </a:prstGeom>
                        </pic:spPr>
                      </pic:pic>
                    </a:graphicData>
                  </a:graphic>
                </wp:inline>
              </w:drawing>
            </w:r>
          </w:p>
        </w:tc>
        <w:tc>
          <w:tcPr>
            <w:tcW w:w="2756" w:type="dxa"/>
            <w:tcMar>
              <w:top w:type="dxa" w:w="60"/>
              <w:left w:type="dxa" w:w="120"/>
              <w:bottom w:type="dxa" w:w="30"/>
              <w:right w:type="dxa" w:w="120"/>
            </w:tcMar>
          </w:tcPr>
          <w:p>
            <w:pPr>
              <w:spacing w:before="120" w:after="120" w:line="288" w:lineRule="auto"/>
              <w:ind w:left="0"/>
              <w:jc w:val="center"/>
            </w:pPr>
            <w:r>
              <w:drawing>
                <wp:inline distT="0" distR="0" distB="0" distL="0">
                  <wp:extent cx="1590675" cy="10001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1590675" cy="1000125"/>
                          </a:xfrm>
                          <a:prstGeom prst="rect">
                            <a:avLst/>
                          </a:prstGeom>
                        </pic:spPr>
                      </pic:pic>
                    </a:graphicData>
                  </a:graphic>
                </wp:inline>
              </w:drawing>
            </w:r>
          </w:p>
        </w:tc>
        <w:tc>
          <w:tcPr>
            <w:tcW w:w="2756" w:type="dxa"/>
            <w:tcMar>
              <w:top w:type="dxa" w:w="60"/>
              <w:left w:type="dxa" w:w="120"/>
              <w:bottom w:type="dxa" w:w="30"/>
              <w:right w:type="dxa" w:w="120"/>
            </w:tcMar>
          </w:tcPr>
          <w:p>
            <w:pPr>
              <w:spacing w:before="120" w:after="120" w:line="288" w:lineRule="auto"/>
              <w:ind w:left="0"/>
              <w:jc w:val="center"/>
            </w:pPr>
            <w:r>
              <w:drawing>
                <wp:inline distT="0" distR="0" distB="0" distL="0">
                  <wp:extent cx="1590675" cy="10001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1590675" cy="1000125"/>
                          </a:xfrm>
                          <a:prstGeom prst="rect">
                            <a:avLst/>
                          </a:prstGeom>
                        </pic:spPr>
                      </pic:pic>
                    </a:graphicData>
                  </a:graphic>
                </wp:inline>
              </w:drawing>
            </w:r>
          </w:p>
        </w:tc>
      </w:tr>
    </w:tbl>
    <w:p>
      <w:pPr>
        <w:spacing w:before="120" w:after="120" w:line="288" w:lineRule="auto"/>
        <w:ind w:left="0"/>
        <w:jc w:val="center"/>
      </w:pPr>
      <w:r>
        <w:rPr>
          <w:rFonts w:eastAsia="等线" w:ascii="Arial" w:cs="Arial" w:hAnsi="Arial"/>
          <w:sz w:val="22"/>
        </w:rPr>
        <w:t>半圆立柱式-侧视图       半圆立柱式-俯视图       半圆立柱式式-正视图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365"/>
        <w:gridCol w:w="2775"/>
        <w:gridCol w:w="324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构型类型</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结构特征</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核心优势 </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存在不足</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风机嵌入式</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在传统正交实心墙体中直接开槽，将风机嵌入孔洞内；未开槽区域保留矩形直角迎风面。</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工艺成熟：依托传统土建施工工艺，无异形模具需求。</w:t>
            </w:r>
          </w:p>
          <w:p>
            <w:pPr>
              <w:spacing w:before="120" w:after="120" w:line="288" w:lineRule="auto"/>
              <w:ind w:left="0"/>
              <w:jc w:val="left"/>
            </w:pPr>
            <w:r>
              <w:rPr>
                <w:rFonts w:eastAsia="等线" w:ascii="Arial" w:cs="Arial" w:hAnsi="Arial"/>
                <w:sz w:val="22"/>
              </w:rPr>
              <w:t>2. 安装简便：风机直接固定于墙体结构层，刚度较好。</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气动分离严重：直角前缘导致严重的附面层分离，墙后湍流强度大。</w:t>
            </w:r>
          </w:p>
          <w:p>
            <w:pPr>
              <w:spacing w:before="120" w:after="120" w:line="288" w:lineRule="auto"/>
              <w:ind w:left="0"/>
              <w:jc w:val="left"/>
            </w:pPr>
            <w:r>
              <w:rPr>
                <w:rFonts w:eastAsia="等线" w:ascii="Arial" w:cs="Arial" w:hAnsi="Arial"/>
                <w:sz w:val="22"/>
              </w:rPr>
              <w:t>2. 防护距离短：尾流恢复区极短，无法有效覆盖镜场。</w:t>
            </w:r>
          </w:p>
          <w:p>
            <w:pPr>
              <w:spacing w:before="120" w:after="120" w:line="288" w:lineRule="auto"/>
              <w:ind w:left="0"/>
              <w:jc w:val="left"/>
            </w:pPr>
            <w:r>
              <w:rPr>
                <w:rFonts w:eastAsia="等线" w:ascii="Arial" w:cs="Arial" w:hAnsi="Arial"/>
                <w:sz w:val="22"/>
              </w:rPr>
              <w:t>3. 捕能效率低：无导流结构，仅利用自然风速，无明显加速效应。</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棱锥立柱式</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采用三棱柱型立柱阵列；利用锥面形成收缩型流道，构建强文丘里效应。</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极致加速：导风口理论风速增强比可达 1.4~1.5倍，风能捕获潜力大。</w:t>
            </w:r>
          </w:p>
          <w:p>
            <w:pPr>
              <w:spacing w:before="120" w:after="120" w:line="288" w:lineRule="auto"/>
              <w:ind w:left="0"/>
              <w:jc w:val="left"/>
            </w:pPr>
            <w:r>
              <w:rPr>
                <w:rFonts w:eastAsia="等线" w:ascii="Arial" w:cs="Arial" w:hAnsi="Arial"/>
                <w:sz w:val="22"/>
              </w:rPr>
              <w:t>2. 结构紧凑：锥形结构底座宽大，抗倾覆能力较强。</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流场品质差：锐角迎风面易引发激波阻力，导致风机叶片承受交变冲击载荷，易疲劳断裂。</w:t>
            </w:r>
          </w:p>
          <w:p>
            <w:pPr>
              <w:spacing w:before="120" w:after="120" w:line="288" w:lineRule="auto"/>
              <w:ind w:left="0"/>
              <w:jc w:val="left"/>
            </w:pPr>
            <w:r>
              <w:rPr>
                <w:rFonts w:eastAsia="等线" w:ascii="Arial" w:cs="Arial" w:hAnsi="Arial"/>
                <w:sz w:val="22"/>
              </w:rPr>
              <w:t>2. 应力集中：尖端与迎风面连接处存在显著应力集中点。</w:t>
            </w:r>
          </w:p>
          <w:p>
            <w:pPr>
              <w:spacing w:before="120" w:after="120" w:line="288" w:lineRule="auto"/>
              <w:ind w:left="0"/>
              <w:jc w:val="left"/>
            </w:pPr>
            <w:r>
              <w:rPr>
                <w:rFonts w:eastAsia="等线" w:ascii="Arial" w:cs="Arial" w:hAnsi="Arial"/>
                <w:sz w:val="22"/>
              </w:rPr>
              <w:t>3. 风阻过大：对来流风阻滞过强，可能导致墙前沙尘堆积。</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半圆立柱式</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立柱采用流线型半圆截面；配合双层横梁形成气动喉道。</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流场稳流增效：导风口风速增强比 1.2~1.35倍，且湍流度小，保证风机平稳满发。</w:t>
            </w:r>
          </w:p>
          <w:p>
            <w:pPr>
              <w:spacing w:before="120" w:after="120" w:line="288" w:lineRule="auto"/>
              <w:ind w:left="0"/>
              <w:jc w:val="left"/>
            </w:pPr>
            <w:r>
              <w:rPr>
                <w:rFonts w:eastAsia="等线" w:ascii="Arial" w:cs="Arial" w:hAnsi="Arial"/>
                <w:sz w:val="22"/>
              </w:rPr>
              <w:t>2. 防护范围倍增：弧面引导气流平滑绕流，配合剪切层抬升，墙后低风速区延长至 15倍墙高以上。</w:t>
            </w:r>
          </w:p>
          <w:p>
            <w:pPr>
              <w:spacing w:before="120" w:after="120" w:line="288" w:lineRule="auto"/>
              <w:ind w:left="0"/>
              <w:jc w:val="left"/>
            </w:pPr>
            <w:r>
              <w:rPr>
                <w:rFonts w:eastAsia="等线" w:ascii="Arial" w:cs="Arial" w:hAnsi="Arial"/>
                <w:sz w:val="22"/>
              </w:rPr>
              <w:t>3. 结构协同受力：动载荷转化为分布静载，立柱根部应力降低。</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加工成本略高：需制作大型定型钢模或采用卷板工艺；对现场拼装精度要求较高</w:t>
            </w:r>
          </w:p>
        </w:tc>
      </w:tr>
    </w:tbl>
    <w:p>
      <w:pPr>
        <w:spacing w:before="120" w:after="120" w:line="288" w:lineRule="auto"/>
        <w:ind w:left="0" w:firstLine="420"/>
        <w:jc w:val="left"/>
      </w:pPr>
      <w:r>
        <w:rPr>
          <w:rFonts w:eastAsia="等线" w:ascii="Arial" w:cs="Arial" w:hAnsi="Arial"/>
          <w:sz w:val="22"/>
        </w:rPr>
        <w:t>最终选用半圆截面立柱 + 双层连接横梁构型（匹配图 3 外观）：半圆截面立柱的弧面引导气流平稳绕流，双层横梁承载上下层风机，既解决了实心墙的强湍流问题，又通过分层捕风提升了风能利用效率，实现 “防风效果、结构安全、风能捕获” 的协同优化。</w:t>
      </w:r>
    </w:p>
    <w:p>
      <w:pPr>
        <w:pStyle w:val="4"/>
        <w:spacing w:before="260" w:after="120" w:line="288" w:lineRule="auto"/>
        <w:ind w:left="0"/>
        <w:jc w:val="left"/>
        <w:outlineLvl w:val="3"/>
      </w:pPr>
      <w:bookmarkStart w:name="heading_7" w:id="7"/>
      <w:r>
        <w:rPr>
          <w:rFonts w:eastAsia="等线" w:ascii="Arial" w:cs="Arial" w:hAnsi="Arial"/>
          <w:b w:val="true"/>
          <w:sz w:val="28"/>
        </w:rPr>
        <w:t>2.1.2 关键结构参数设计</w:t>
      </w:r>
      <w:bookmarkEnd w:id="7"/>
    </w:p>
    <w:p>
      <w:pPr>
        <w:spacing w:before="120" w:after="120" w:line="288" w:lineRule="auto"/>
        <w:ind w:left="0"/>
        <w:jc w:val="left"/>
      </w:pPr>
      <w:r>
        <w:rPr>
          <w:rFonts w:eastAsia="等线" w:ascii="Arial" w:cs="Arial" w:hAnsi="Arial"/>
          <w:sz w:val="22"/>
        </w:rPr>
        <w:t>（一）参数仿真</w:t>
      </w:r>
    </w:p>
    <w:p>
      <w:pPr>
        <w:spacing w:before="120" w:after="120" w:line="288" w:lineRule="auto"/>
        <w:ind w:left="0"/>
        <w:jc w:val="left"/>
      </w:pPr>
      <w:r>
        <w:rPr>
          <w:rFonts w:eastAsia="等线" w:ascii="Arial" w:cs="Arial" w:hAnsi="Arial"/>
          <w:sz w:val="22"/>
        </w:rPr>
        <w:t>（1）墙体高度仿真：对比了 10m、15m、20m 三种墙体高度的流场特性。</w:t>
      </w:r>
    </w:p>
    <w:p>
      <w:pPr>
        <w:spacing w:before="120" w:after="120" w:line="288" w:lineRule="auto"/>
        <w:ind w:left="0"/>
        <w:jc w:val="left"/>
      </w:pPr>
      <w:r>
        <w:rPr>
          <w:rFonts w:eastAsia="等线" w:ascii="Arial" w:cs="Arial" w:hAnsi="Arial"/>
          <w:sz w:val="22"/>
        </w:rPr>
        <w:t>10m：墙后未形成明显的低速保护区，导风口加速效果较差，无法满足防护需求。</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3"/>
        <w:gridCol w:w="2763"/>
        <w:gridCol w:w="2752"/>
      </w:tblGrid>
      <w:tr>
        <w:tc>
          <w:tcPr>
            <w:tcW w:w="2763" w:type="dxa"/>
            <w:tcMar>
              <w:top w:type="dxa" w:w="60"/>
              <w:left w:type="dxa" w:w="120"/>
              <w:bottom w:type="dxa" w:w="30"/>
              <w:right w:type="dxa" w:w="120"/>
            </w:tcMar>
          </w:tcPr>
          <w:p>
            <w:pPr>
              <w:spacing w:before="120" w:after="120" w:line="288" w:lineRule="auto"/>
              <w:ind w:left="0"/>
              <w:jc w:val="center"/>
            </w:pPr>
            <w:r>
              <w:drawing>
                <wp:inline distT="0" distR="0" distB="0" distL="0">
                  <wp:extent cx="1600200" cy="10001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1600200" cy="1000125"/>
                          </a:xfrm>
                          <a:prstGeom prst="rect">
                            <a:avLst/>
                          </a:prstGeom>
                        </pic:spPr>
                      </pic:pic>
                    </a:graphicData>
                  </a:graphic>
                </wp:inline>
              </w:drawing>
            </w:r>
          </w:p>
        </w:tc>
        <w:tc>
          <w:tcPr>
            <w:tcW w:w="2763" w:type="dxa"/>
            <w:tcMar>
              <w:top w:type="dxa" w:w="60"/>
              <w:left w:type="dxa" w:w="120"/>
              <w:bottom w:type="dxa" w:w="30"/>
              <w:right w:type="dxa" w:w="120"/>
            </w:tcMar>
          </w:tcPr>
          <w:p>
            <w:pPr>
              <w:spacing w:before="120" w:after="120" w:line="288" w:lineRule="auto"/>
              <w:ind w:left="0"/>
              <w:jc w:val="center"/>
            </w:pPr>
            <w:r>
              <w:drawing>
                <wp:inline distT="0" distR="0" distB="0" distL="0">
                  <wp:extent cx="1600200" cy="10001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1600200" cy="1000125"/>
                          </a:xfrm>
                          <a:prstGeom prst="rect">
                            <a:avLst/>
                          </a:prstGeom>
                        </pic:spPr>
                      </pic:pic>
                    </a:graphicData>
                  </a:graphic>
                </wp:inline>
              </w:drawing>
            </w:r>
          </w:p>
        </w:tc>
        <w:tc>
          <w:tcPr>
            <w:tcW w:w="2752" w:type="dxa"/>
            <w:tcMar>
              <w:top w:type="dxa" w:w="60"/>
              <w:left w:type="dxa" w:w="120"/>
              <w:bottom w:type="dxa" w:w="30"/>
              <w:right w:type="dxa" w:w="120"/>
            </w:tcMar>
          </w:tcPr>
          <w:p>
            <w:pPr>
              <w:spacing w:before="120" w:after="120" w:line="288" w:lineRule="auto"/>
              <w:ind w:left="0"/>
              <w:jc w:val="center"/>
            </w:pPr>
            <w:r>
              <w:drawing>
                <wp:inline distT="0" distR="0" distB="0" distL="0">
                  <wp:extent cx="1590675" cy="10001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1590675" cy="10001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10m墙高-侧视图          10m墙高-俯视图          10m墙高-正视图</w:t>
      </w:r>
    </w:p>
    <w:p>
      <w:pPr>
        <w:spacing w:before="120" w:after="120" w:line="288" w:lineRule="auto"/>
        <w:ind w:left="0"/>
        <w:jc w:val="left"/>
      </w:pPr>
      <w:r>
        <w:rPr>
          <w:rFonts w:eastAsia="等线" w:ascii="Arial" w:cs="Arial" w:hAnsi="Arial"/>
          <w:sz w:val="22"/>
        </w:rPr>
        <w:t>20m：虽理论发电潜力大，但墙后拖尾相对较大，湍流显著增加，且制造成本过高。</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10001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1600200" cy="10001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10001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1600200" cy="10001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10001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1600200" cy="10001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20m墙高-侧视图          20m墙高-俯视图          20m墙高-正视图</w:t>
      </w:r>
    </w:p>
    <w:p>
      <w:pPr>
        <w:spacing w:before="120" w:after="120" w:line="288" w:lineRule="auto"/>
        <w:ind w:left="0"/>
        <w:jc w:val="left"/>
      </w:pPr>
      <w:r>
        <w:rPr>
          <w:rFonts w:eastAsia="等线" w:ascii="Arial" w:cs="Arial" w:hAnsi="Arial"/>
          <w:sz w:val="22"/>
        </w:rPr>
        <w:t>15m：仿真显示该高度下墙后流场最稳定，无剧烈涡流，且导风口末端流速可达 28m/s 左右（在10m/s入口风速下），实现了加速效应与防护效果的最佳平衡。</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4"/>
        <w:gridCol w:w="2757"/>
        <w:gridCol w:w="2757"/>
      </w:tblGrid>
      <w:tr>
        <w:tc>
          <w:tcPr>
            <w:tcW w:w="2764" w:type="dxa"/>
            <w:tcMar>
              <w:top w:type="dxa" w:w="60"/>
              <w:left w:type="dxa" w:w="120"/>
              <w:bottom w:type="dxa" w:w="30"/>
              <w:right w:type="dxa" w:w="120"/>
            </w:tcMar>
          </w:tcPr>
          <w:p>
            <w:pPr>
              <w:spacing w:before="120" w:after="120" w:line="288" w:lineRule="auto"/>
              <w:ind w:left="0"/>
              <w:jc w:val="center"/>
            </w:pPr>
            <w:r>
              <w:drawing>
                <wp:inline distT="0" distR="0" distB="0" distL="0">
                  <wp:extent cx="1600200" cy="10001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1600200" cy="1000125"/>
                          </a:xfrm>
                          <a:prstGeom prst="rect">
                            <a:avLst/>
                          </a:prstGeom>
                        </pic:spPr>
                      </pic:pic>
                    </a:graphicData>
                  </a:graphic>
                </wp:inline>
              </w:drawing>
            </w:r>
          </w:p>
        </w:tc>
        <w:tc>
          <w:tcPr>
            <w:tcW w:w="2757" w:type="dxa"/>
            <w:tcMar>
              <w:top w:type="dxa" w:w="60"/>
              <w:left w:type="dxa" w:w="120"/>
              <w:bottom w:type="dxa" w:w="30"/>
              <w:right w:type="dxa" w:w="120"/>
            </w:tcMar>
          </w:tcPr>
          <w:p>
            <w:pPr>
              <w:spacing w:before="120" w:after="120" w:line="288" w:lineRule="auto"/>
              <w:ind w:left="0"/>
              <w:jc w:val="center"/>
            </w:pPr>
            <w:r>
              <w:drawing>
                <wp:inline distT="0" distR="0" distB="0" distL="0">
                  <wp:extent cx="1590675" cy="10001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1590675" cy="1000125"/>
                          </a:xfrm>
                          <a:prstGeom prst="rect">
                            <a:avLst/>
                          </a:prstGeom>
                        </pic:spPr>
                      </pic:pic>
                    </a:graphicData>
                  </a:graphic>
                </wp:inline>
              </w:drawing>
            </w:r>
          </w:p>
        </w:tc>
        <w:tc>
          <w:tcPr>
            <w:tcW w:w="2757" w:type="dxa"/>
            <w:tcMar>
              <w:top w:type="dxa" w:w="60"/>
              <w:left w:type="dxa" w:w="120"/>
              <w:bottom w:type="dxa" w:w="30"/>
              <w:right w:type="dxa" w:w="120"/>
            </w:tcMar>
          </w:tcPr>
          <w:p>
            <w:pPr>
              <w:spacing w:before="120" w:after="120" w:line="288" w:lineRule="auto"/>
              <w:ind w:left="0"/>
              <w:jc w:val="center"/>
            </w:pPr>
            <w:r>
              <w:drawing>
                <wp:inline distT="0" distR="0" distB="0" distL="0">
                  <wp:extent cx="1590675" cy="10001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1590675" cy="10001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15m墙高-侧视图          15m墙高-俯视图          15m墙高-正视图</w:t>
      </w:r>
    </w:p>
    <w:p>
      <w:pPr>
        <w:spacing w:before="120" w:after="120" w:line="288" w:lineRule="auto"/>
        <w:ind w:left="0"/>
        <w:jc w:val="left"/>
      </w:pPr>
      <w:r>
        <w:rPr>
          <w:rFonts w:eastAsia="等线" w:ascii="Arial" w:cs="Arial" w:hAnsi="Arial"/>
          <w:sz w:val="22"/>
        </w:rPr>
        <w:t>(二）参数确认</w:t>
      </w:r>
    </w:p>
    <w:p>
      <w:pPr>
        <w:numPr>
          <w:numId w:val="4"/>
        </w:numPr>
        <w:spacing w:before="120" w:after="120" w:line="288" w:lineRule="auto"/>
        <w:ind w:left="0"/>
        <w:jc w:val="left"/>
      </w:pPr>
      <w:r>
        <w:rPr>
          <w:rFonts w:eastAsia="等线" w:ascii="Arial" w:cs="Arial" w:hAnsi="Arial"/>
          <w:sz w:val="22"/>
        </w:rPr>
        <w:t xml:space="preserve">整体高度：结合定日镜高度（3-5m）与风廓线特征，确定挡风墙高度为 12m。根据防风墙尾流理论，有效庇护距离通常为墙高的 10-15 倍。15m的设计高度可在墙后形成长达150m-200m的低风速核心保护区，完全覆盖外围受风沙威胁最严重的光热镜场区域。 </w:t>
      </w:r>
    </w:p>
    <w:p>
      <w:pPr>
        <w:numPr>
          <w:numId w:val="5"/>
        </w:numPr>
        <w:spacing w:before="120" w:after="120" w:line="288" w:lineRule="auto"/>
        <w:ind w:left="0"/>
        <w:jc w:val="left"/>
      </w:pPr>
      <w:r>
        <w:rPr>
          <w:rFonts w:eastAsia="等线" w:ascii="Arial" w:cs="Arial" w:hAnsi="Arial"/>
          <w:sz w:val="22"/>
        </w:rPr>
        <w:t>立柱与导风口参数：立柱采用大尺度半圆柱体，弧面迎向区域主风方向。墙体宽度10米，最大厚度为8米，墙体之间空隙宽度为6米，形成 6m×15m导风口，与 FD5-5kW 风机风轮直径（5m）匹配，预留0.5m的叶尖净空，既防止了极端工况下叶片扫塔，又利用了地面效应进一步提升气动效率。采用双层阵列布置，下层风机中心高 4m，上层风机中心高10m，垂向间距6m，避免上下层尾流干涉。</w:t>
      </w:r>
    </w:p>
    <w:p>
      <w:pPr>
        <w:numPr>
          <w:numId w:val="6"/>
        </w:numPr>
        <w:spacing w:before="120" w:after="120" w:line="288" w:lineRule="auto"/>
        <w:ind w:left="0"/>
        <w:jc w:val="left"/>
      </w:pPr>
      <w:r>
        <w:rPr>
          <w:rFonts w:eastAsia="等线" w:ascii="Arial" w:cs="Arial" w:hAnsi="Arial"/>
          <w:sz w:val="22"/>
        </w:rPr>
        <w:t>材料选型：立柱主体为 Q355 低合金高强度钢，弧面喷涂 2mm 厚聚脲耐磨涂层，增强抗风沙磨损性能；连接横梁采用 H150×150×7×10 型钢，兼顾荷载传递与线缆敷设需求。</w:t>
      </w:r>
    </w:p>
    <w:p>
      <w:pPr>
        <w:pStyle w:val="4"/>
        <w:spacing w:before="260" w:after="120" w:line="288" w:lineRule="auto"/>
        <w:ind w:left="0"/>
        <w:jc w:val="left"/>
        <w:outlineLvl w:val="3"/>
      </w:pPr>
      <w:bookmarkStart w:name="heading_8" w:id="8"/>
      <w:r>
        <w:rPr>
          <w:rFonts w:eastAsia="等线" w:ascii="Arial" w:cs="Arial" w:hAnsi="Arial"/>
          <w:b w:val="true"/>
          <w:sz w:val="28"/>
        </w:rPr>
        <w:t>2.1.3 结构协同设计</w:t>
      </w:r>
      <w:bookmarkEnd w:id="8"/>
    </w:p>
    <w:p>
      <w:pPr>
        <w:spacing w:before="120" w:after="120" w:line="288" w:lineRule="auto"/>
        <w:ind w:left="0" w:firstLine="0"/>
        <w:jc w:val="left"/>
      </w:pPr>
      <w:r>
        <w:rPr>
          <w:rFonts w:eastAsia="等线" w:ascii="Arial" w:cs="Arial" w:hAnsi="Arial"/>
          <w:sz w:val="22"/>
        </w:rPr>
        <w:t>采用 “立柱 - 横梁 - 风机” 一体化布局，协同设计如下：</w:t>
      </w:r>
    </w:p>
    <w:p>
      <w:pPr>
        <w:spacing w:before="120" w:after="120" w:line="288" w:lineRule="auto"/>
        <w:ind w:left="0" w:firstLine="0"/>
        <w:jc w:val="left"/>
      </w:pPr>
      <w:r>
        <w:rPr>
          <w:rFonts w:eastAsia="等线" w:ascii="Arial" w:cs="Arial" w:hAnsi="Arial"/>
          <w:sz w:val="22"/>
        </w:rPr>
        <w:t>（1）风机与结构的协同固定：采用双层H型钢横梁作为风机的主承力构件，风机运行产生的推力与扭矩通过横梁传递至半圆立柱，再由立柱传递至深埋基础。这种框架式传力路径将风机的集中动载荷转化为立柱的分布静载荷，使根部应力水平较独立塔架降低约 25%。上下层风机均通过定制支架栓接于双层连接横梁的外侧即朝向导风口一侧，风机轴线与导风口中心精准对齐，确保气流经弧面引导后，垂直作用于风轮截面。</w:t>
      </w:r>
    </w:p>
    <w:p>
      <w:pPr>
        <w:spacing w:before="120" w:after="120" w:line="288" w:lineRule="auto"/>
        <w:ind w:left="0" w:firstLine="0"/>
        <w:jc w:val="left"/>
      </w:pPr>
      <w:r>
        <w:rPr>
          <w:rFonts w:eastAsia="等线" w:ascii="Arial" w:cs="Arial" w:hAnsi="Arial"/>
          <w:sz w:val="22"/>
        </w:rPr>
        <w:t>（2）线缆与结构的协同布线：利用半圆立柱的中空腔体作为天然的电气管廊。风机发出的电能经整流后，线缆直接沿横梁内部进入立柱腔体，并通过地基预埋管网汇入微电网。该设计完全避免了线缆裸露于风沙环境中，杜绝了绝缘层磨损导致短路的隐患。</w:t>
      </w:r>
    </w:p>
    <w:p>
      <w:pPr>
        <w:spacing w:before="120" w:after="120" w:line="288" w:lineRule="auto"/>
        <w:ind w:left="0" w:firstLine="0"/>
        <w:jc w:val="left"/>
      </w:pPr>
      <w:r>
        <w:rPr>
          <w:rFonts w:eastAsia="等线" w:ascii="Arial" w:cs="Arial" w:hAnsi="Arial"/>
          <w:sz w:val="22"/>
        </w:rPr>
        <w:t>（3）流场气动协同：风机安装位置被精确锁定在两立柱形成的气动喉道处。此处气流因狭管效应被加速至最高点，且流线最为平直。双层风机的存在反过来增加了流道阻力，进一步迫使部分气流向上方溢出，从而在宏观上抬升了来流风的剪切层高度，对后方定日镜起到更好的屏蔽作用。</w:t>
      </w:r>
    </w:p>
    <w:p>
      <w:pPr>
        <w:spacing w:before="120" w:after="120" w:line="288" w:lineRule="auto"/>
        <w:ind w:left="0" w:firstLine="0"/>
        <w:jc w:val="left"/>
      </w:pPr>
    </w:p>
    <w:p>
      <w:pPr>
        <w:pStyle w:val="3"/>
        <w:spacing w:before="300" w:after="120" w:line="288" w:lineRule="auto"/>
        <w:ind w:left="0"/>
        <w:jc w:val="left"/>
        <w:outlineLvl w:val="2"/>
      </w:pPr>
      <w:bookmarkStart w:name="heading_9" w:id="9"/>
      <w:r>
        <w:rPr>
          <w:rFonts w:eastAsia="等线" w:ascii="Arial" w:cs="Arial" w:hAnsi="Arial"/>
          <w:b w:val="true"/>
          <w:sz w:val="30"/>
        </w:rPr>
        <w:t>2.2 流体仿真优化设计（基于Fluent）</w:t>
      </w:r>
      <w:bookmarkEnd w:id="9"/>
    </w:p>
    <w:p>
      <w:pPr>
        <w:spacing w:before="120" w:after="120" w:line="288" w:lineRule="auto"/>
        <w:ind w:left="0" w:firstLine="420"/>
        <w:jc w:val="left"/>
      </w:pPr>
      <w:r>
        <w:rPr>
          <w:rFonts w:eastAsia="等线" w:ascii="Arial" w:cs="Arial" w:hAnsi="Arial"/>
          <w:sz w:val="22"/>
        </w:rPr>
        <w:t>为验证“半圆立柱 + 双层横梁”构型的流场调控性能，并精确匹配风机气动参数，本项目构建了高保真三维数值风洞模型。仿真工作主要聚焦于流场加速效应验证与尾流干扰抑制两个核心维度。</w:t>
      </w:r>
    </w:p>
    <w:p>
      <w:pPr>
        <w:pStyle w:val="4"/>
        <w:spacing w:before="260" w:after="120" w:line="288" w:lineRule="auto"/>
        <w:ind w:left="0"/>
        <w:jc w:val="left"/>
        <w:outlineLvl w:val="3"/>
      </w:pPr>
      <w:bookmarkStart w:name="heading_10" w:id="10"/>
      <w:r>
        <w:rPr>
          <w:rFonts w:eastAsia="等线" w:ascii="Arial" w:cs="Arial" w:hAnsi="Arial"/>
          <w:b w:val="true"/>
          <w:sz w:val="28"/>
        </w:rPr>
        <w:t>2.2.1 仿真目标与评价指标</w:t>
      </w:r>
      <w:bookmarkEnd w:id="10"/>
    </w:p>
    <w:p>
      <w:pPr>
        <w:spacing w:before="120" w:after="120" w:line="288" w:lineRule="auto"/>
        <w:ind w:left="0" w:firstLine="420"/>
        <w:jc w:val="left"/>
      </w:pPr>
      <w:r>
        <w:rPr>
          <w:rFonts w:eastAsia="等线" w:ascii="Arial" w:cs="Arial" w:hAnsi="Arial"/>
          <w:sz w:val="22"/>
        </w:rPr>
        <w:t>通过多工况数值模拟，旨在量化挡风墙对自然风场的重构能力，核心测定以下四类关键参数：</w:t>
      </w:r>
    </w:p>
    <w:p>
      <w:pPr>
        <w:spacing w:before="120" w:after="120" w:line="288" w:lineRule="auto"/>
        <w:ind w:left="0" w:firstLine="0"/>
        <w:jc w:val="left"/>
      </w:pPr>
      <w:r>
        <w:rPr>
          <w:rFonts w:eastAsia="等线" w:ascii="Arial" w:cs="Arial" w:hAnsi="Arial"/>
          <w:sz w:val="22"/>
        </w:rPr>
        <w:t>（1）流场基准标定：测定无遮挡状态下，西部荒漠地形近地表（0-15m高度）的大气边界层风速分布特征。</w:t>
      </w:r>
    </w:p>
    <w:p>
      <w:pPr>
        <w:spacing w:before="120" w:after="120" w:line="288" w:lineRule="auto"/>
        <w:ind w:left="0" w:firstLine="0"/>
        <w:jc w:val="left"/>
      </w:pPr>
      <w:r>
        <w:rPr>
          <w:rFonts w:eastAsia="等线" w:ascii="Arial" w:cs="Arial" w:hAnsi="Arial"/>
          <w:sz w:val="22"/>
        </w:rPr>
        <w:t>（2）加速效应量化：计算不同来流风速下，导风口喉道中心的风速增强比，目标值为 1.2-1.35，以验证狭管效应的有效性。</w:t>
      </w:r>
    </w:p>
    <w:p>
      <w:pPr>
        <w:spacing w:before="120" w:after="120" w:line="288" w:lineRule="auto"/>
        <w:ind w:left="0" w:firstLine="0"/>
        <w:jc w:val="left"/>
      </w:pPr>
      <w:r>
        <w:rPr>
          <w:rFonts w:eastAsia="等线" w:ascii="Arial" w:cs="Arial" w:hAnsi="Arial"/>
          <w:sz w:val="22"/>
        </w:rPr>
        <w:t>（3）尾流恢复特性：监测墙后镜场区域的速度亏损与湍流强度，确保定日镜表面风压波动≤5%。</w:t>
      </w:r>
    </w:p>
    <w:p>
      <w:pPr>
        <w:spacing w:before="120" w:after="120" w:line="288" w:lineRule="auto"/>
        <w:ind w:left="0" w:firstLine="0"/>
        <w:jc w:val="left"/>
      </w:pPr>
      <w:r>
        <w:rPr>
          <w:rFonts w:eastAsia="等线" w:ascii="Arial" w:cs="Arial" w:hAnsi="Arial"/>
          <w:sz w:val="22"/>
        </w:rPr>
        <w:t>（4）结构气动优化：对比不同开孔率及立柱间距下的流场云图，确定最优的气动外形参数。</w:t>
      </w:r>
    </w:p>
    <w:p>
      <w:pPr>
        <w:spacing w:before="120" w:after="120" w:line="288" w:lineRule="auto"/>
        <w:ind w:left="0" w:firstLine="0"/>
        <w:jc w:val="left"/>
      </w:pPr>
      <w:r>
        <w:rPr>
          <w:rFonts w:eastAsia="等线" w:ascii="Arial" w:cs="Arial" w:hAnsi="Arial"/>
          <w:sz w:val="22"/>
        </w:rPr>
        <w:t>2.2.2 仿真模型构建与网格划分</w:t>
      </w:r>
    </w:p>
    <w:p>
      <w:pPr>
        <w:spacing w:before="120" w:after="120" w:line="288" w:lineRule="auto"/>
        <w:ind w:left="0" w:firstLine="0"/>
        <w:jc w:val="left"/>
      </w:pPr>
      <w:r>
        <w:rPr>
          <w:rFonts w:eastAsia="等线" w:ascii="Arial" w:cs="Arial" w:hAnsi="Arial"/>
          <w:sz w:val="22"/>
        </w:rPr>
        <w:t>（1）计算域设置</w:t>
      </w:r>
    </w:p>
    <w:p>
      <w:pPr>
        <w:spacing w:before="120" w:after="120" w:line="288" w:lineRule="auto"/>
        <w:ind w:left="0" w:firstLine="420"/>
        <w:jc w:val="left"/>
      </w:pPr>
      <w:r>
        <w:rPr>
          <w:rFonts w:eastAsia="等线" w:ascii="Arial" w:cs="Arial" w:hAnsi="Arial"/>
          <w:sz w:val="22"/>
        </w:rPr>
        <w:t>为避免边界阻塞效应，建立大尺度虚拟风洞。计算域尺寸设定为 30H×15H×10H（H为墙高 12m）；入口距挡风墙前缘5H，出口距后缘20H以保证尾流充分发展，顶部距地面10H。</w:t>
      </w:r>
    </w:p>
    <w:p>
      <w:pPr>
        <w:spacing w:before="120" w:after="120" w:line="288" w:lineRule="auto"/>
        <w:ind w:left="0" w:firstLine="0"/>
        <w:jc w:val="left"/>
      </w:pPr>
      <w:r>
        <w:rPr>
          <w:rFonts w:eastAsia="等线" w:ascii="Arial" w:cs="Arial" w:hAnsi="Arial"/>
          <w:sz w:val="22"/>
        </w:rPr>
        <w:t>（2）网格策略</w:t>
      </w:r>
    </w:p>
    <w:p>
      <w:pPr>
        <w:spacing w:before="120" w:after="120" w:line="288" w:lineRule="auto"/>
        <w:ind w:left="0" w:firstLine="420"/>
        <w:jc w:val="left"/>
      </w:pPr>
      <w:r>
        <w:rPr>
          <w:rFonts w:eastAsia="等线" w:ascii="Arial" w:cs="Arial" w:hAnsi="Arial"/>
          <w:sz w:val="22"/>
        </w:rPr>
        <w:t>采用 Poly-Hexcore（多面体-六面体核心） 混合网格技术；对半圆立柱表面、导风口及风机轮毂区域进行局部加密，最小网格尺寸 0.05m；在立柱壁面设置 10 层棱柱层网格，第一层厚度，确保y+≈ 30-60，以精确捕捉近壁面分离流。</w:t>
      </w:r>
    </w:p>
    <w:p>
      <w:pPr>
        <w:pStyle w:val="4"/>
        <w:spacing w:before="260" w:after="120" w:line="288" w:lineRule="auto"/>
        <w:ind w:left="0"/>
        <w:jc w:val="left"/>
        <w:outlineLvl w:val="3"/>
      </w:pPr>
      <w:bookmarkStart w:name="heading_11" w:id="11"/>
      <w:r>
        <w:rPr>
          <w:rFonts w:eastAsia="等线" w:ascii="Arial" w:cs="Arial" w:hAnsi="Arial"/>
          <w:b w:val="true"/>
          <w:sz w:val="28"/>
        </w:rPr>
        <w:t>2.2.3 边界条件与物理模型</w:t>
      </w:r>
      <w:bookmarkEnd w:id="11"/>
    </w:p>
    <w:p>
      <w:pPr>
        <w:spacing w:before="120" w:after="120" w:line="288" w:lineRule="auto"/>
        <w:ind w:left="0" w:firstLine="0"/>
        <w:jc w:val="left"/>
      </w:pPr>
      <w:r>
        <w:rPr>
          <w:rFonts w:eastAsia="等线" w:ascii="Arial" w:cs="Arial" w:hAnsi="Arial"/>
          <w:sz w:val="22"/>
        </w:rPr>
        <w:t>（1）入口边界：采用速度入口边界条件，输入垂直于边界的均一恒定风速。设定入口风速 （对应风机额定满发工况），用于评估系统的发电效率增益；设定入口风速 （模拟强风沙暴工况），用于校核挡风墙后的低速区保护范围。设定湍流强度为 5%，湍流粘度比为 10，模拟典型的平坦开阔地带气流特征。</w:t>
      </w:r>
    </w:p>
    <w:p>
      <w:pPr>
        <w:spacing w:before="120" w:after="120" w:line="288" w:lineRule="auto"/>
        <w:ind w:left="0" w:firstLine="0"/>
        <w:jc w:val="left"/>
      </w:pPr>
      <w:r>
        <w:rPr>
          <w:rFonts w:eastAsia="等线" w:ascii="Arial" w:cs="Arial" w:hAnsi="Arial"/>
          <w:sz w:val="22"/>
        </w:rPr>
        <w:t>（2）湍流模型：选用 SST模型（剪切应力传输模型）。该模型能准确预测圆柱绕流中的逆压梯度及附面层分离，是分析钝体绕流问题的标准选择。</w:t>
      </w:r>
    </w:p>
    <w:p>
      <w:pPr>
        <w:spacing w:before="120" w:after="120" w:line="288" w:lineRule="auto"/>
        <w:ind w:left="0" w:firstLine="0"/>
        <w:jc w:val="left"/>
      </w:pPr>
      <w:r>
        <w:rPr>
          <w:rFonts w:eastAsia="等线" w:ascii="Arial" w:cs="Arial" w:hAnsi="Arial"/>
          <w:sz w:val="22"/>
        </w:rPr>
        <w:t>（3）壁面边界：地面及挡风墙表面设置为静止无滑移壁面，忽略地面粗糙度对近地层流速剖面的微观影响，重点考察结构本身的气动特性。</w:t>
      </w:r>
    </w:p>
    <w:p>
      <w:pPr>
        <w:pStyle w:val="4"/>
        <w:spacing w:before="260" w:after="120" w:line="288" w:lineRule="auto"/>
        <w:ind w:left="0"/>
        <w:jc w:val="left"/>
        <w:outlineLvl w:val="3"/>
      </w:pPr>
      <w:bookmarkStart w:name="heading_12" w:id="12"/>
      <w:r>
        <w:rPr>
          <w:rFonts w:eastAsia="等线" w:ascii="Arial" w:cs="Arial" w:hAnsi="Arial"/>
          <w:b w:val="true"/>
          <w:sz w:val="28"/>
        </w:rPr>
        <w:t>2.2.4 风机简化模型</w:t>
      </w:r>
      <w:bookmarkEnd w:id="12"/>
    </w:p>
    <w:p>
      <w:pPr>
        <w:spacing w:before="120" w:after="120" w:line="288" w:lineRule="auto"/>
        <w:ind w:left="0" w:firstLine="0"/>
        <w:jc w:val="left"/>
      </w:pPr>
      <w:r>
        <w:rPr>
          <w:rFonts w:eastAsia="等线" w:ascii="Arial" w:cs="Arial" w:hAnsi="Arial"/>
          <w:sz w:val="22"/>
        </w:rPr>
        <w:t>考虑到直接模拟旋转叶片计算量过大，在流场级仿真中，采用 致动盘模型代替真实风机。在导风口风机安装位置设置厚度为0.2m的多孔介质区域。通过添加动量源项模拟风机对气流的阻滞和提取能量的过程，公式如下：</w:t>
      </w:r>
    </w:p>
    <w:p>
      <w:pPr>
        <w:spacing w:before="120" w:after="120" w:line="288" w:lineRule="auto"/>
        <w:ind w:left="0" w:firstLine="0"/>
        <w:jc w:val="left"/>
      </w:pPr>
      <w:r>
        <w:rPr>
          <w:rFonts w:eastAsia="等线" w:ascii="Arial" w:cs="Arial" w:hAnsi="Arial"/>
          <w:sz w:val="22"/>
        </w:rPr>
        <w:t>（其中 Ct为风机推力系数，取值 0.8），从而真实反映“风机运行”对墙后尾流的整流作用。</w:t>
      </w:r>
    </w:p>
    <w:p>
      <w:pPr>
        <w:spacing w:before="120" w:after="120" w:line="288" w:lineRule="auto"/>
        <w:ind w:left="0" w:firstLine="0"/>
        <w:jc w:val="left"/>
      </w:pPr>
      <w:r>
        <w:rPr>
          <w:rFonts w:eastAsia="等线" w:ascii="Arial" w:cs="Arial" w:hAnsi="Arial"/>
          <w:sz w:val="22"/>
        </w:rPr>
      </w:r>
      <m:oMathPara>
        <m:oMathParaPr>
          <m:jc m:val="left"/>
        </m:oMathParaPr>
        <m:oMath xmlns:mml="http://www.w3.org/1998/Math/MathML">
          <m:sSub>
            <m:e>
              <m:r>
                <w:rPr>
                  <w:rFonts w:ascii="Cambria Math" w:hAnsi="Cambria Math"/>
                </w:rPr>
                <m:t>S</m:t>
              </m:r>
            </m:e>
            <m:sub>
              <m:r>
                <w:rPr>
                  <w:rFonts w:ascii="Cambria Math" w:hAnsi="Cambria Math"/>
                </w:rPr>
                <m:t>i</m:t>
              </m:r>
            </m:sub>
          </m:sSub>
          <m:r>
            <w:rPr>
              <w:rFonts w:ascii="Cambria Math" w:hAnsi="Cambria Math"/>
            </w:rPr>
            <m:t>=−</m:t>
          </m:r>
          <m:f>
            <m:fPr>
              <m:type m:val="bar"/>
            </m:fPr>
            <m:num>
              <m:r>
                <w:rPr>
                  <w:rFonts w:ascii="Cambria Math" w:hAnsi="Cambria Math"/>
                </w:rPr>
                <m:t>1</m:t>
              </m:r>
            </m:num>
            <m:den>
              <m:r>
                <w:rPr>
                  <w:rFonts w:ascii="Cambria Math" w:hAnsi="Cambria Math"/>
                </w:rPr>
                <m:t>2</m:t>
              </m:r>
            </m:den>
          </m:f>
          <m:sSub>
            <m:e>
              <m:r>
                <w:rPr>
                  <w:rFonts w:ascii="Cambria Math" w:hAnsi="Cambria Math"/>
                </w:rPr>
                <m:t>C</m:t>
              </m:r>
            </m:e>
            <m:sub>
              <m:r>
                <w:rPr>
                  <w:rFonts w:ascii="Cambria Math" w:hAnsi="Cambria Math"/>
                </w:rPr>
                <m:t>t</m:t>
              </m:r>
            </m:sub>
          </m:sSub>
          <m:r>
            <w:rPr>
              <w:rFonts w:ascii="Cambria Math" w:hAnsi="Cambria Math"/>
            </w:rPr>
            <m:t>ρ</m:t>
          </m:r>
          <m:sSup>
            <m:e>
              <m:sSub>
                <m:e>
                  <m:r>
                    <w:rPr>
                      <w:rFonts w:ascii="Cambria Math" w:hAnsi="Cambria Math"/>
                    </w:rPr>
                    <m:t>V</m:t>
                  </m:r>
                </m:e>
                <m:sub>
                  <m:r>
                    <w:rPr>
                      <w:rFonts w:ascii="Cambria Math" w:hAnsi="Cambria Math"/>
                    </w:rPr>
                    <m:t>ref</m:t>
                  </m:r>
                </m:sub>
              </m:sSub>
            </m:e>
            <m:sup>
              <m:r>
                <w:rPr>
                  <w:rFonts w:ascii="Cambria Math" w:hAnsi="Cambria Math"/>
                </w:rPr>
                <m:t>2</m:t>
              </m:r>
            </m:sup>
          </m:sSup>
        </m:oMath>
      </m:oMathPara>
    </w:p>
    <w:p>
      <w:pPr>
        <w:pStyle w:val="3"/>
        <w:spacing w:before="300" w:after="120" w:line="288" w:lineRule="auto"/>
        <w:ind w:left="0"/>
        <w:jc w:val="left"/>
        <w:outlineLvl w:val="2"/>
      </w:pPr>
      <w:bookmarkStart w:name="heading_13" w:id="13"/>
      <w:r>
        <w:rPr>
          <w:rFonts w:eastAsia="等线" w:ascii="Arial" w:cs="Arial" w:hAnsi="Arial"/>
          <w:b w:val="true"/>
          <w:sz w:val="30"/>
        </w:rPr>
        <w:t>2.3 发电系统建模与控制（基于Simulink）</w:t>
      </w:r>
      <w:bookmarkEnd w:id="13"/>
    </w:p>
    <w:p>
      <w:pPr>
        <w:spacing w:before="120" w:after="120" w:line="288" w:lineRule="auto"/>
        <w:ind w:left="0" w:firstLine="420"/>
        <w:jc w:val="left"/>
      </w:pPr>
      <w:r>
        <w:rPr>
          <w:rFonts w:eastAsia="等线" w:ascii="Arial" w:cs="Arial" w:hAnsi="Arial"/>
          <w:sz w:val="22"/>
        </w:rPr>
        <w:t>基于 Matlab/Simulink 平台搭建了直驱式永磁同步发电机（PMSG）全系统仿真模型。模型深度耦合了空气动力学子系统、机械传动子系统与电气控制子系统，旨在验证“挡风墙-风机”系统在复杂风况下的电能质量与运行稳定性。</w:t>
      </w:r>
    </w:p>
    <w:p>
      <w:pPr>
        <w:pStyle w:val="4"/>
        <w:spacing w:before="260" w:after="120" w:line="288" w:lineRule="auto"/>
        <w:ind w:left="0"/>
        <w:jc w:val="left"/>
        <w:outlineLvl w:val="3"/>
      </w:pPr>
      <w:bookmarkStart w:name="heading_14" w:id="14"/>
      <w:r>
        <w:rPr>
          <w:rFonts w:eastAsia="等线" w:ascii="Arial" w:cs="Arial" w:hAnsi="Arial"/>
          <w:b w:val="true"/>
          <w:sz w:val="28"/>
        </w:rPr>
        <w:t>2.3.1 系统拓扑与建模架构</w:t>
      </w:r>
      <w:bookmarkEnd w:id="14"/>
    </w:p>
    <w:p>
      <w:pPr>
        <w:spacing w:before="120" w:after="120" w:line="288" w:lineRule="auto"/>
        <w:ind w:left="0" w:firstLine="420"/>
        <w:jc w:val="left"/>
      </w:pPr>
      <w:r>
        <w:rPr>
          <w:rFonts w:eastAsia="等线" w:ascii="Arial" w:cs="Arial" w:hAnsi="Arial"/>
          <w:sz w:val="22"/>
        </w:rPr>
        <w:t>仿真模型构建了基于 5kW 永磁同步发电机 的全功率并网变换器系统，采用 双PWM变流器（Dual-PWM Converter）架构，核心模块如下：</w:t>
      </w:r>
    </w:p>
    <w:p>
      <w:pPr>
        <w:spacing w:before="120" w:after="120" w:line="288" w:lineRule="auto"/>
        <w:ind w:left="0"/>
        <w:jc w:val="left"/>
      </w:pPr>
      <w:r>
        <w:rPr>
          <w:rFonts w:eastAsia="等线" w:ascii="Arial" w:cs="Arial" w:hAnsi="Arial"/>
          <w:sz w:val="22"/>
        </w:rPr>
        <w:t>（1）空气动力学与机械模块</w:t>
      </w:r>
    </w:p>
    <w:p>
      <w:pPr>
        <w:spacing w:before="120" w:after="120" w:line="288" w:lineRule="auto"/>
        <w:ind w:left="0" w:firstLine="420"/>
        <w:jc w:val="left"/>
      </w:pPr>
      <w:r>
        <w:rPr>
          <w:rFonts w:eastAsia="等线" w:ascii="Arial" w:cs="Arial" w:hAnsi="Arial"/>
          <w:sz w:val="22"/>
        </w:rPr>
        <w:t>采用三叶片水平轴风力机模型，模拟风轮在不同风速下的空气动力学特性。设置阶跃风速与随机风速输入源，模拟挡风墙导风口处的突发阵风与湍流环境，以此测试系统的动态响应极限。</w:t>
      </w:r>
    </w:p>
    <w:p>
      <w:pPr>
        <w:spacing w:before="120" w:after="120" w:line="288" w:lineRule="auto"/>
        <w:ind w:left="0"/>
        <w:jc w:val="left"/>
      </w:pPr>
      <w:r>
        <w:rPr>
          <w:rFonts w:eastAsia="等线" w:ascii="Arial" w:cs="Arial" w:hAnsi="Arial"/>
          <w:sz w:val="22"/>
        </w:rPr>
        <w:t>（2）发电机模块（PMSG）</w:t>
      </w:r>
    </w:p>
    <w:p>
      <w:pPr>
        <w:spacing w:before="120" w:after="120" w:line="288" w:lineRule="auto"/>
        <w:ind w:left="0" w:firstLine="420"/>
        <w:jc w:val="left"/>
      </w:pPr>
      <w:r>
        <w:rPr>
          <w:rFonts w:eastAsia="等线" w:ascii="Arial" w:cs="Arial" w:hAnsi="Arial"/>
          <w:sz w:val="22"/>
        </w:rPr>
        <w:t>选用 5kW 多极低速永磁同步发电机（PMSG），直接与风轮连接（直驱），消除齿轮箱故障隐患。</w:t>
      </w:r>
    </w:p>
    <w:p>
      <w:pPr>
        <w:spacing w:before="120" w:after="120" w:line="288" w:lineRule="auto"/>
        <w:ind w:left="0"/>
        <w:jc w:val="left"/>
      </w:pPr>
      <w:r>
        <w:rPr>
          <w:rFonts w:eastAsia="等线" w:ascii="Arial" w:cs="Arial" w:hAnsi="Arial"/>
          <w:sz w:val="22"/>
        </w:rPr>
        <w:t>（3）全功率变流器模块</w:t>
      </w:r>
    </w:p>
    <w:p>
      <w:pPr>
        <w:spacing w:before="120" w:after="120" w:line="288" w:lineRule="auto"/>
        <w:ind w:left="0" w:firstLine="420"/>
        <w:jc w:val="left"/>
      </w:pPr>
      <w:r>
        <w:rPr>
          <w:rFonts w:eastAsia="等线" w:ascii="Arial" w:cs="Arial" w:hAnsi="Arial"/>
          <w:sz w:val="22"/>
        </w:rPr>
        <w:t>机侧变换器（MSC）采用 PWM 升压整流器。主要负责转速追踪与电磁转矩控制，实现最大功率点追踪（MPPT）; 网侧变换器（GSC）采用三相PWM 逆变器。主要负责维持直流母线电压稳定，并控制输出电流相位，实现单位功率因数并网。</w:t>
      </w:r>
    </w:p>
    <w:p>
      <w:pPr>
        <w:pStyle w:val="4"/>
        <w:spacing w:before="260" w:after="120" w:line="288" w:lineRule="auto"/>
        <w:ind w:left="0"/>
        <w:jc w:val="left"/>
        <w:outlineLvl w:val="3"/>
      </w:pPr>
      <w:bookmarkStart w:name="heading_15" w:id="15"/>
      <w:r>
        <w:rPr>
          <w:rFonts w:eastAsia="等线" w:ascii="Arial" w:cs="Arial" w:hAnsi="Arial"/>
          <w:b w:val="true"/>
          <w:sz w:val="28"/>
        </w:rPr>
        <w:t>2.3.2 双闭环矢量控制策略</w:t>
      </w:r>
      <w:bookmarkEnd w:id="15"/>
    </w:p>
    <w:p>
      <w:pPr>
        <w:spacing w:before="120" w:after="120" w:line="288" w:lineRule="auto"/>
        <w:ind w:left="0" w:firstLine="420"/>
        <w:jc w:val="left"/>
      </w:pPr>
      <w:r>
        <w:rPr>
          <w:rFonts w:eastAsia="等线" w:ascii="Arial" w:cs="Arial" w:hAnsi="Arial"/>
          <w:sz w:val="22"/>
        </w:rPr>
        <w:t>为解决墙后风速波动导致的输出不稳定问题，本系统摒弃简单的单环控制，采用解耦性能更优的矢量控制策略。</w:t>
      </w:r>
    </w:p>
    <w:p>
      <w:pPr>
        <w:spacing w:before="120" w:after="120" w:line="288" w:lineRule="auto"/>
        <w:ind w:left="0" w:firstLine="0"/>
        <w:jc w:val="left"/>
      </w:pPr>
      <w:r>
        <w:rPr>
          <w:rFonts w:eastAsia="等线" w:ascii="Arial" w:cs="Arial" w:hAnsi="Arial"/>
          <w:sz w:val="22"/>
        </w:rPr>
        <w:t>（1）机侧控制：最大功率点追踪（MPPT）</w:t>
      </w:r>
    </w:p>
    <w:p>
      <w:pPr>
        <w:spacing w:before="120" w:after="120" w:line="288" w:lineRule="auto"/>
        <w:ind w:left="0" w:firstLine="420"/>
        <w:jc w:val="left"/>
      </w:pPr>
      <w:r>
        <w:rPr>
          <w:rFonts w:eastAsia="等线" w:ascii="Arial" w:cs="Arial" w:hAnsi="Arial"/>
          <w:sz w:val="22"/>
        </w:rPr>
        <w:t>在风速变化时，实时调节发电机转速，使叶尖速比始终维持在最佳值。采用最佳转矩控制（OTC）策略。控制器根据实时转速计算出参考电磁转矩</w:t>
      </w:r>
      <w:r>
        <w:rPr>
          <w:rFonts w:eastAsia="等线" w:ascii="Arial" w:cs="Arial" w:hAnsi="Arial"/>
          <w:sz w:val="22"/>
        </w:rPr>
      </w:r>
      <m:oMathPara>
        <m:oMathParaPr>
          <m:jc m:val="left"/>
        </m:oMathParaPr>
        <m:oMath xmlns:mml="http://www.w3.org/1998/Math/MathML">
          <m:sSub>
            <m:e>
              <m:r>
                <w:rPr>
                  <w:rFonts w:ascii="Cambria Math" w:hAnsi="Cambria Math"/>
                </w:rPr>
                <m:t>T</m:t>
              </m:r>
            </m:e>
            <m:sub>
              <m:r>
                <w:rPr>
                  <w:rFonts w:ascii="Cambria Math" w:hAnsi="Cambria Math"/>
                </w:rPr>
                <m:t>ref</m:t>
              </m:r>
            </m:sub>
          </m:sSub>
          <m:r>
            <w:rPr>
              <w:rFonts w:ascii="Cambria Math" w:hAnsi="Cambria Math"/>
            </w:rPr>
            <m:t>=k⋅</m:t>
          </m:r>
          <m:sSup>
            <m:e>
              <m:r>
                <w:rPr>
                  <w:rFonts w:ascii="Cambria Math" w:hAnsi="Cambria Math"/>
                </w:rPr>
                <m:t>ω</m:t>
              </m:r>
            </m:e>
            <m:sup>
              <m:r>
                <w:rPr>
                  <w:rFonts w:ascii="Cambria Math" w:hAnsi="Cambria Math"/>
                </w:rPr>
                <m:t>2</m:t>
              </m:r>
            </m:sup>
          </m:sSup>
        </m:oMath>
      </m:oMathPara>
      <w:r>
        <w:rPr>
          <w:rFonts w:eastAsia="等线" w:ascii="Arial" w:cs="Arial" w:hAnsi="Arial"/>
          <w:sz w:val="22"/>
        </w:rPr>
        <w:t>，通过 SVPWM（空间矢量脉宽调制）技术控制整流器，确保风机在 3-12m/s 风速区间内始终运行在最大功率曲线上，不仅提升发电量，还利用转子惯性平抑了高频风速波动。</w:t>
      </w:r>
    </w:p>
    <w:p>
      <w:pPr>
        <w:spacing w:before="120" w:after="120" w:line="288" w:lineRule="auto"/>
        <w:ind w:left="0" w:firstLine="0"/>
        <w:jc w:val="left"/>
      </w:pPr>
      <w:r>
        <w:rPr>
          <w:rFonts w:eastAsia="等线" w:ascii="Arial" w:cs="Arial" w:hAnsi="Arial"/>
          <w:sz w:val="22"/>
        </w:rPr>
        <w:t>（2）网侧控制：电压定向与电能质量治理</w:t>
      </w:r>
    </w:p>
    <w:p>
      <w:pPr>
        <w:spacing w:before="120" w:after="120" w:line="288" w:lineRule="auto"/>
        <w:ind w:left="0" w:firstLine="420"/>
        <w:jc w:val="left"/>
      </w:pPr>
      <w:r>
        <w:rPr>
          <w:rFonts w:eastAsia="等线" w:ascii="Arial" w:cs="Arial" w:hAnsi="Arial"/>
          <w:sz w:val="22"/>
        </w:rPr>
        <w:t>稳定直流母线电压，并确保并网电流与电网电压同频同相（单位功率因数运行）。采用电网电压定向矢量控制（VOC）。外环（电压环）：采用 PI 控制器稳定直流母线电压，平衡系统功率流；内环（电流环）：快速跟踪参考电流，通过前馈解耦消除 d-q 轴耦合干扰，确保输出电流的总谐波失真度（THD）满足国标要求。</w:t>
      </w:r>
    </w:p>
    <w:p>
      <w:pPr>
        <w:pStyle w:val="4"/>
        <w:spacing w:before="260" w:after="120" w:line="288" w:lineRule="auto"/>
        <w:ind w:left="0"/>
        <w:jc w:val="left"/>
        <w:outlineLvl w:val="3"/>
      </w:pPr>
      <w:bookmarkStart w:name="heading_16" w:id="16"/>
      <w:r>
        <w:rPr>
          <w:rFonts w:eastAsia="等线" w:ascii="Arial" w:cs="Arial" w:hAnsi="Arial"/>
          <w:b w:val="true"/>
          <w:sz w:val="28"/>
        </w:rPr>
        <w:t>2.3.3 仿真目标与核心指标</w:t>
      </w:r>
      <w:bookmarkEnd w:id="16"/>
    </w:p>
    <w:p>
      <w:pPr>
        <w:spacing w:before="120" w:after="120" w:line="288" w:lineRule="auto"/>
        <w:ind w:left="0" w:firstLine="420"/>
        <w:jc w:val="left"/>
      </w:pPr>
      <w:r>
        <w:rPr>
          <w:rFonts w:eastAsia="等线" w:ascii="Arial" w:cs="Arial" w:hAnsi="Arial"/>
          <w:sz w:val="22"/>
        </w:rPr>
        <w:t>通过 Simulink 进行多工况动态仿真，验证系统在以下指标上的达标情况：</w:t>
      </w:r>
    </w:p>
    <w:p>
      <w:pPr>
        <w:spacing w:before="120" w:after="120" w:line="288" w:lineRule="auto"/>
        <w:ind w:left="0"/>
        <w:jc w:val="left"/>
      </w:pPr>
      <w:r>
        <w:rPr>
          <w:rFonts w:eastAsia="等线" w:ascii="Arial" w:cs="Arial" w:hAnsi="Arial"/>
          <w:sz w:val="22"/>
        </w:rPr>
        <w:t>（1）电能质量验证（并网电流曲线）</w:t>
      </w:r>
    </w:p>
    <w:p>
      <w:pPr>
        <w:spacing w:before="120" w:after="120" w:line="288" w:lineRule="auto"/>
        <w:ind w:left="0" w:firstLine="420"/>
        <w:jc w:val="left"/>
      </w:pPr>
      <w:r>
        <w:rPr>
          <w:rFonts w:eastAsia="等线" w:ascii="Arial" w:cs="Arial" w:hAnsi="Arial"/>
          <w:sz w:val="22"/>
        </w:rPr>
        <w:t>观测并网点电流波形，目标是呈现良好的正弦度。经 FFT 分析，电流总谐波畸变率（THD） 应满足并网标准（通常 &lt;5%），确保发出的电能符合光热电站精密设备的供电要求。</w:t>
      </w:r>
    </w:p>
    <w:p>
      <w:pPr>
        <w:spacing w:before="120" w:after="120" w:line="288" w:lineRule="auto"/>
        <w:ind w:left="0"/>
        <w:jc w:val="left"/>
      </w:pPr>
      <w:r>
        <w:rPr>
          <w:rFonts w:eastAsia="等线" w:ascii="Arial" w:cs="Arial" w:hAnsi="Arial"/>
          <w:sz w:val="22"/>
        </w:rPr>
        <w:t>（2）MPPT 追踪性能验证（Cp值曲线）</w:t>
      </w:r>
    </w:p>
    <w:p>
      <w:pPr>
        <w:spacing w:before="120" w:after="120" w:line="288" w:lineRule="auto"/>
        <w:ind w:left="0" w:firstLine="420"/>
        <w:jc w:val="left"/>
      </w:pPr>
      <w:r>
        <w:rPr>
          <w:rFonts w:eastAsia="等线" w:ascii="Arial" w:cs="Arial" w:hAnsi="Arial"/>
          <w:sz w:val="22"/>
        </w:rPr>
        <w:t>构建“风速-功率”特性曲线。仿真结果表明，在导风口风速增强效应下，系统切入风速降低至2.5m/s，额定功率满发风速由12m/s 提前至10m/s。</w:t>
      </w:r>
    </w:p>
    <w:p>
      <w:pPr>
        <w:spacing w:before="120" w:after="120" w:line="288" w:lineRule="auto"/>
        <w:ind w:left="0"/>
        <w:jc w:val="left"/>
      </w:pPr>
      <w:r>
        <w:rPr>
          <w:rFonts w:eastAsia="等线" w:ascii="Arial" w:cs="Arial" w:hAnsi="Arial"/>
          <w:sz w:val="22"/>
        </w:rPr>
        <w:t>（3）动态功率响应验证（有功功率曲线）</w:t>
      </w:r>
    </w:p>
    <w:p>
      <w:pPr>
        <w:spacing w:before="120" w:after="120" w:line="288" w:lineRule="auto"/>
        <w:ind w:left="0" w:firstLine="420"/>
        <w:jc w:val="left"/>
      </w:pPr>
      <w:r>
        <w:rPr>
          <w:rFonts w:eastAsia="等线" w:ascii="Arial" w:cs="Arial" w:hAnsi="Arial"/>
          <w:sz w:val="22"/>
        </w:rPr>
        <w:t>模拟风速阶跃突变如阵风来袭，观测输出有功功率的变化。目标是功率响应平滑上升，无剧烈震荡，且直流母线电压具有快速的瞬态恢复能力。</w:t>
      </w:r>
    </w:p>
    <w:p>
      <w:pPr>
        <w:spacing w:before="120" w:after="120" w:line="288" w:lineRule="auto"/>
        <w:ind w:left="0" w:firstLine="0"/>
        <w:jc w:val="left"/>
      </w:pPr>
    </w:p>
    <w:p>
      <w:pPr>
        <w:pStyle w:val="3"/>
        <w:spacing w:before="300" w:after="120" w:line="288" w:lineRule="auto"/>
        <w:ind w:left="0"/>
        <w:jc w:val="left"/>
        <w:outlineLvl w:val="2"/>
      </w:pPr>
      <w:bookmarkStart w:name="heading_17" w:id="17"/>
      <w:r>
        <w:rPr>
          <w:rFonts w:eastAsia="等线" w:ascii="Arial" w:cs="Arial" w:hAnsi="Arial"/>
          <w:b w:val="true"/>
          <w:sz w:val="30"/>
        </w:rPr>
        <w:t>2.4 STWF（光热风场）控制系统与数据架构开发</w:t>
      </w:r>
      <w:bookmarkEnd w:id="17"/>
    </w:p>
    <w:p>
      <w:pPr>
        <w:spacing w:before="120" w:after="120" w:line="288" w:lineRule="auto"/>
        <w:ind w:left="0" w:firstLine="420"/>
        <w:jc w:val="left"/>
      </w:pPr>
      <w:r>
        <w:rPr>
          <w:rFonts w:eastAsia="等线" w:ascii="Arial" w:cs="Arial" w:hAnsi="Arial"/>
          <w:sz w:val="22"/>
        </w:rPr>
        <w:t>本系统采用“端-边-云”协同架构，旨在解决多源异构设备的分布式数据采集、高并发传输与标准化存储问题。系统底层基于 STM32 嵌入式平台，上层依托 Python 异步框架与时序数据库，构建了高可靠的物联网（IoT）控制底座。</w:t>
      </w:r>
    </w:p>
    <w:p>
      <w:pPr>
        <w:pStyle w:val="4"/>
        <w:spacing w:before="260" w:after="120" w:line="288" w:lineRule="auto"/>
        <w:ind w:left="0"/>
        <w:jc w:val="left"/>
        <w:outlineLvl w:val="3"/>
      </w:pPr>
      <w:bookmarkStart w:name="heading_18" w:id="18"/>
      <w:r>
        <w:rPr>
          <w:rFonts w:eastAsia="等线" w:ascii="Arial" w:cs="Arial" w:hAnsi="Arial"/>
          <w:b w:val="true"/>
          <w:sz w:val="28"/>
        </w:rPr>
        <w:t>2.4.1 硬件采集终端设计</w:t>
      </w:r>
      <w:bookmarkEnd w:id="18"/>
    </w:p>
    <w:p>
      <w:pPr>
        <w:spacing w:before="120" w:after="120" w:line="288" w:lineRule="auto"/>
        <w:ind w:left="0" w:firstLine="420"/>
        <w:jc w:val="left"/>
      </w:pPr>
      <w:r>
        <w:rPr>
          <w:rFonts w:eastAsia="等线" w:ascii="Arial" w:cs="Arial" w:hAnsi="Arial"/>
          <w:sz w:val="22"/>
        </w:rPr>
        <w:t>为满足风光场站多节点、分布式的监测需求，团队自主研发了局域网组网数据采集终端。</w:t>
      </w:r>
    </w:p>
    <w:p>
      <w:pPr>
        <w:spacing w:before="120" w:after="120" w:line="288" w:lineRule="auto"/>
        <w:ind w:left="0" w:firstLine="420"/>
        <w:jc w:val="left"/>
      </w:pPr>
      <w:r>
        <w:rPr>
          <w:rFonts w:eastAsia="等线" w:ascii="Arial" w:cs="Arial" w:hAnsi="Arial"/>
          <w:sz w:val="22"/>
        </w:rPr>
        <w:t>该数据采集终端采用STM32F103C8T6作为主控芯片，搭配 CH395Q 网络协议栈芯片，实现了硬件级 TCP/IP 协议处理以及准确数据的实时吞吐能力；实现了多通道采集，单台终端引出 8 路 ADC 通道，通过定制扩展板集成 3.3V 电源与接地接口，简化现场接线复杂度 ；采用了解耦设计，终端仅负责电压信号的透传，物理量（如风速 m/s、转速 rpm）的单位换算逻辑下沉至服务器端配置。这种设计实现了硬件通道的完全复用，无需针对不同传感器反复烧录单片机固件 。</w:t>
      </w:r>
    </w:p>
    <w:p>
      <w:pPr>
        <w:pStyle w:val="4"/>
        <w:spacing w:before="260" w:after="120" w:line="288" w:lineRule="auto"/>
        <w:ind w:left="0"/>
        <w:jc w:val="left"/>
        <w:outlineLvl w:val="3"/>
      </w:pPr>
      <w:bookmarkStart w:name="heading_19" w:id="19"/>
      <w:r>
        <w:rPr>
          <w:rFonts w:eastAsia="等线" w:ascii="Arial" w:cs="Arial" w:hAnsi="Arial"/>
          <w:b w:val="true"/>
          <w:sz w:val="28"/>
        </w:rPr>
        <w:t>2.4.2 自适应组网与通信协议</w:t>
      </w:r>
      <w:bookmarkEnd w:id="19"/>
    </w:p>
    <w:p>
      <w:pPr>
        <w:spacing w:before="120" w:after="120" w:line="288" w:lineRule="auto"/>
        <w:ind w:left="0" w:firstLine="420"/>
        <w:jc w:val="left"/>
      </w:pPr>
      <w:r>
        <w:rPr>
          <w:rFonts w:eastAsia="等线" w:ascii="Arial" w:cs="Arial" w:hAnsi="Arial"/>
          <w:sz w:val="22"/>
        </w:rPr>
        <w:t>针对沙漠腹地通信环境复杂的特点，设计了基于 UDP 的高容错通信机制。</w:t>
      </w:r>
    </w:p>
    <w:p>
      <w:pPr>
        <w:spacing w:before="120" w:after="120" w:line="288" w:lineRule="auto"/>
        <w:ind w:left="0" w:firstLine="420"/>
        <w:jc w:val="left"/>
      </w:pPr>
      <w:r>
        <w:rPr>
          <w:rFonts w:eastAsia="等线" w:ascii="Arial" w:cs="Arial" w:hAnsi="Arial"/>
          <w:sz w:val="22"/>
        </w:rPr>
        <w:t>终端接入局域网后，通过 DHCP 自动获取 IP，并每隔 10 秒向区域主服务器发送“呼叫信号”；服务器接收到呼叫后，自动创建独立的收发进程，以 5 秒为周期向终端发起数据请求；终端收到指令后通过 UDP 协议回复实时数据。若响应超时次数超限，系统将自动挂起该进程以释放资源，实现“即插即用”的热插拔管理；引入“采集对象编号 (No)”与“数据类型编号 (CH)”双标识体系。该机制支持多台终端协同监测同一设备（解决单机 8 通道限制），并将数据精确映射至数据库中对应的设备表 。</w:t>
      </w:r>
    </w:p>
    <w:p>
      <w:pPr>
        <w:pStyle w:val="4"/>
        <w:spacing w:before="260" w:after="120" w:line="288" w:lineRule="auto"/>
        <w:ind w:left="0"/>
        <w:jc w:val="left"/>
        <w:outlineLvl w:val="3"/>
      </w:pPr>
      <w:bookmarkStart w:name="heading_20" w:id="20"/>
      <w:r>
        <w:rPr>
          <w:rFonts w:eastAsia="等线" w:ascii="Arial" w:cs="Arial" w:hAnsi="Arial"/>
          <w:b w:val="true"/>
          <w:sz w:val="28"/>
        </w:rPr>
        <w:t>2.4.3 后端数据中心与存储</w:t>
      </w:r>
      <w:bookmarkEnd w:id="20"/>
    </w:p>
    <w:p>
      <w:pPr>
        <w:spacing w:before="120" w:after="120" w:line="288" w:lineRule="auto"/>
        <w:ind w:left="0" w:firstLine="420"/>
        <w:jc w:val="left"/>
      </w:pPr>
      <w:r>
        <w:rPr>
          <w:rFonts w:eastAsia="等线" w:ascii="Arial" w:cs="Arial" w:hAnsi="Arial"/>
          <w:sz w:val="22"/>
        </w:rPr>
        <w:t>后端运行于 Docker 容器化环境中，采用 Python 3.13.7 嵌入式版本部署，确保跨平台运行的一致性 。</w:t>
      </w:r>
    </w:p>
    <w:p>
      <w:pPr>
        <w:spacing w:before="120" w:after="120" w:line="288" w:lineRule="auto"/>
        <w:ind w:left="0" w:firstLine="420"/>
        <w:jc w:val="left"/>
      </w:pPr>
      <w:r>
        <w:rPr>
          <w:rFonts w:eastAsia="等线" w:ascii="Arial" w:cs="Arial" w:hAnsi="Arial"/>
          <w:sz w:val="22"/>
        </w:rPr>
        <w:t>基于 FastAPI 框架构建 RESTful API 接口，负责指令下发与前端数据请求的高速响应；选用 InfluxDB3 作为核心存储引擎。系统根据预设配置文件，将接收到的电压原始数据实时转换为物理真值，并按时间戳存入数据表。该方案专为处理风机高频连续数据优化，大幅提升了读写效率 。</w:t>
      </w:r>
    </w:p>
    <w:p>
      <w:pPr>
        <w:spacing w:before="120" w:after="120" w:line="288" w:lineRule="auto"/>
        <w:ind w:left="0" w:firstLine="420"/>
        <w:jc w:val="left"/>
      </w:pPr>
    </w:p>
    <w:p>
      <w:pPr>
        <w:pStyle w:val="3"/>
        <w:spacing w:before="300" w:after="120" w:line="288" w:lineRule="auto"/>
        <w:ind w:left="0"/>
        <w:jc w:val="left"/>
        <w:outlineLvl w:val="2"/>
      </w:pPr>
      <w:bookmarkStart w:name="heading_21" w:id="21"/>
      <w:r>
        <w:rPr>
          <w:rFonts w:eastAsia="等线" w:ascii="Arial" w:cs="Arial" w:hAnsi="Arial"/>
          <w:b w:val="true"/>
          <w:sz w:val="30"/>
        </w:rPr>
        <w:t>2.5 可视化监控网页开发</w:t>
      </w:r>
      <w:bookmarkEnd w:id="21"/>
    </w:p>
    <w:p>
      <w:pPr>
        <w:spacing w:before="120" w:after="120" w:line="288" w:lineRule="auto"/>
        <w:ind w:left="0" w:firstLine="420"/>
        <w:jc w:val="left"/>
      </w:pPr>
      <w:r>
        <w:rPr>
          <w:rFonts w:eastAsia="等线" w:ascii="Arial" w:cs="Arial" w:hAnsi="Arial"/>
          <w:sz w:val="22"/>
        </w:rPr>
        <w:t>可视化平台基于 B/S（浏览器/服务器）架构开发，集成了数字孪生展示、实时图表监控与大模型智能问答功能，为运维人员提供沉浸式的交互体验。</w:t>
      </w:r>
    </w:p>
    <w:p>
      <w:pPr>
        <w:pStyle w:val="4"/>
        <w:spacing w:before="260" w:after="120" w:line="288" w:lineRule="auto"/>
        <w:ind w:left="0"/>
        <w:jc w:val="left"/>
        <w:outlineLvl w:val="3"/>
      </w:pPr>
      <w:bookmarkStart w:name="heading_22" w:id="22"/>
      <w:r>
        <w:rPr>
          <w:rFonts w:eastAsia="等线" w:ascii="Arial" w:cs="Arial" w:hAnsi="Arial"/>
          <w:b w:val="true"/>
          <w:sz w:val="28"/>
        </w:rPr>
        <w:t>2.5.1 前端可视化架构</w:t>
      </w:r>
      <w:bookmarkEnd w:id="22"/>
    </w:p>
    <w:p>
      <w:pPr>
        <w:spacing w:before="120" w:after="120" w:line="288" w:lineRule="auto"/>
        <w:ind w:left="0" w:firstLine="420"/>
        <w:jc w:val="left"/>
      </w:pPr>
      <w:r>
        <w:rPr>
          <w:rFonts w:eastAsia="等线" w:ascii="Arial" w:cs="Arial" w:hAnsi="Arial"/>
          <w:sz w:val="22"/>
        </w:rPr>
        <w:t>前端采用 Vue3 框架搭建，实现了模块化组件开发，主要包含以下可视功能：</w:t>
      </w:r>
    </w:p>
    <w:p>
      <w:pPr>
        <w:spacing w:before="120" w:after="120" w:line="288" w:lineRule="auto"/>
        <w:ind w:left="0" w:firstLine="0"/>
        <w:jc w:val="left"/>
      </w:pPr>
      <w:r>
        <w:rPr>
          <w:rFonts w:eastAsia="等线" w:ascii="Arial" w:cs="Arial" w:hAnsi="Arial"/>
          <w:sz w:val="22"/>
        </w:rPr>
        <w:t>（1）3D 数字孪生场景：引入 Three.js 引擎与天空盒（Skybox）技术，加载由solidworks建模的风光场站三维模型，并使用Blender软件对三维模型进行材质设计。用户可在网页端直观查看挡风墙、定日镜与风机的空间布局及运行状态 。</w:t>
      </w:r>
    </w:p>
    <w:p>
      <w:pPr>
        <w:spacing w:before="120" w:after="120" w:line="288" w:lineRule="auto"/>
        <w:ind w:left="0" w:firstLine="0"/>
        <w:jc w:val="left"/>
      </w:pPr>
      <w:r>
        <w:rPr>
          <w:rFonts w:eastAsia="等线" w:ascii="Arial" w:cs="Arial" w:hAnsi="Arial"/>
          <w:sz w:val="22"/>
        </w:rPr>
        <w:t>（2）实时数据看板：集成 ECharts 图表库，将 InfluxDB 中的时序数据转化为动态曲线与仪表盘。核心监控参数包括墙前/墙后风速、导风口流速、发电机电压/电流及实时功率，支持历史数据回溯分析 。</w:t>
      </w:r>
    </w:p>
    <w:p>
      <w:pPr>
        <w:pStyle w:val="4"/>
        <w:spacing w:before="260" w:after="120" w:line="288" w:lineRule="auto"/>
        <w:ind w:left="0"/>
        <w:jc w:val="left"/>
        <w:outlineLvl w:val="3"/>
      </w:pPr>
      <w:bookmarkStart w:name="heading_23" w:id="23"/>
      <w:r>
        <w:rPr>
          <w:rFonts w:eastAsia="等线" w:ascii="Arial" w:cs="Arial" w:hAnsi="Arial"/>
          <w:b w:val="true"/>
          <w:sz w:val="28"/>
        </w:rPr>
        <w:t>2.5.2 基于 RAG 的 AI 智能助手</w:t>
      </w:r>
      <w:bookmarkEnd w:id="23"/>
    </w:p>
    <w:p>
      <w:pPr>
        <w:spacing w:before="120" w:after="120" w:line="288" w:lineRule="auto"/>
        <w:ind w:left="0" w:firstLine="420"/>
        <w:jc w:val="left"/>
      </w:pPr>
      <w:r>
        <w:rPr>
          <w:rFonts w:eastAsia="等线" w:ascii="Arial" w:cs="Arial" w:hAnsi="Arial"/>
          <w:sz w:val="22"/>
        </w:rPr>
        <w:t>为降低系统使用门槛并提供辅助决策，平台集成了基于硅基流动大模型的智能问答模块 。</w:t>
      </w:r>
    </w:p>
    <w:p>
      <w:pPr>
        <w:spacing w:before="120" w:after="120" w:line="288" w:lineRule="auto"/>
        <w:ind w:left="0" w:firstLine="0"/>
        <w:jc w:val="left"/>
      </w:pPr>
      <w:r>
        <w:rPr>
          <w:rFonts w:eastAsia="等线" w:ascii="Arial" w:cs="Arial" w:hAnsi="Arial"/>
          <w:sz w:val="22"/>
        </w:rPr>
        <w:t>（1）知识库构建：利用 Python 的 LangChain 框架与 Chroma 向量数据库，将项目技术文档、操作手册及故障排查指南进行向量化存储，构建本地私有知识库 。</w:t>
      </w:r>
    </w:p>
    <w:p>
      <w:pPr>
        <w:spacing w:before="120" w:after="120" w:line="288" w:lineRule="auto"/>
        <w:ind w:left="0" w:firstLine="0"/>
        <w:jc w:val="left"/>
      </w:pPr>
      <w:r>
        <w:rPr>
          <w:rFonts w:eastAsia="等线" w:ascii="Arial" w:cs="Arial" w:hAnsi="Arial"/>
          <w:sz w:val="22"/>
        </w:rPr>
        <w:t>（2）检索增强生成（RAG）：当用户在界面提问时，系统首先在本地知识库中检索相关上下文，再结合大模型 API 生成高可信度的回答。该功能可作为“智能运维专家”，解答关于系统接线、参数配置及常见故障处理的问题，实现了从“数据展示”到“智能服务”的跨越 。</w:t>
      </w:r>
    </w:p>
    <w:p>
      <w:pPr>
        <w:pStyle w:val="4"/>
        <w:spacing w:before="260" w:after="120" w:line="288" w:lineRule="auto"/>
        <w:ind w:left="0"/>
        <w:jc w:val="left"/>
        <w:outlineLvl w:val="3"/>
      </w:pPr>
      <w:bookmarkStart w:name="heading_24" w:id="24"/>
      <w:r>
        <w:rPr>
          <w:rFonts w:eastAsia="等线" w:ascii="Arial" w:cs="Arial" w:hAnsi="Arial"/>
          <w:b w:val="true"/>
          <w:sz w:val="28"/>
        </w:rPr>
        <w:t>2.5.3 基于理论基线和实际运行数据的 AI 出力预测系统</w:t>
      </w:r>
      <w:bookmarkEnd w:id="24"/>
    </w:p>
    <w:p>
      <w:pPr>
        <w:spacing w:before="120" w:after="120" w:line="288" w:lineRule="auto"/>
        <w:ind w:left="0" w:firstLine="420"/>
        <w:jc w:val="left"/>
      </w:pPr>
      <w:r>
        <w:rPr>
          <w:rFonts w:eastAsia="等线" w:ascii="Arial" w:cs="Arial" w:hAnsi="Arial"/>
          <w:sz w:val="22"/>
        </w:rPr>
        <w:t>为了提供未来4小时的风机出力预测服务，同时满足风机运行初期，实际功率数据量不能满足经验模型训练需要时的预测需求，平台集成了基于风力发电机理论风速-发电量基线进行预测的基线模型和基于过去7天实际天气情况和发电量进行预测的经验模型 。</w:t>
      </w:r>
    </w:p>
    <w:p>
      <w:pPr>
        <w:spacing w:before="120" w:after="120" w:line="288" w:lineRule="auto"/>
        <w:ind w:left="0" w:firstLine="0"/>
        <w:jc w:val="left"/>
      </w:pPr>
      <w:r>
        <w:rPr>
          <w:rFonts w:eastAsia="等线" w:ascii="Arial" w:cs="Arial" w:hAnsi="Arial"/>
          <w:sz w:val="22"/>
        </w:rPr>
        <w:t>（1）基于风力发电机理论风速-发电量基线预测的基线模型：该模型利用一个包含了几个风速-发电量点的 csv 文件，通过插值方法计算得到特定风速下该风力发电机的理论发电量，适用于风力发电机运行初期，获取到的真实发电量不足，无法进行经验模型的训练的情况。</w:t>
      </w:r>
    </w:p>
    <w:p>
      <w:pPr>
        <w:spacing w:before="120" w:after="120" w:line="288" w:lineRule="auto"/>
        <w:ind w:left="0"/>
        <w:jc w:val="left"/>
      </w:pPr>
      <w:r>
        <w:rPr>
          <w:rFonts w:eastAsia="等线" w:ascii="Arial" w:cs="Arial" w:hAnsi="Arial"/>
          <w:sz w:val="22"/>
        </w:rPr>
        <w:t>（2）基于真实风力发电机发电量和天气数据的经验模型：在获取了足够的真实发电量数据后，可以训练 GBDT 模型，训练数据包括过去7天一小时为单位的真实风速、风向、温湿度、气压以及发电量。当训练完成后，通过天气预报API获取未来4个小时的每小时预测风速、风向、温湿度和气压，通过模型计算，就可以得到基于经验模型的预测发电量。</w:t>
      </w:r>
    </w:p>
    <w:p>
      <w:pPr>
        <w:spacing w:before="120" w:after="120" w:line="288" w:lineRule="auto"/>
        <w:ind w:left="0"/>
        <w:jc w:val="left"/>
      </w:pPr>
      <w:r>
        <w:rPr>
          <w:rFonts w:eastAsia="等线" w:ascii="Arial" w:cs="Arial" w:hAnsi="Arial"/>
          <w:sz w:val="22"/>
        </w:rPr>
        <w:t>（3）在获取到两个模型各自的输出后，根据过去一天每小时的天气/发电量关系，计算得到一个最佳的权重值a，满足：</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m:rPr>
              <m:sty m:val="p"/>
            </m:rPr>
            <w:rPr>
              <w:rFonts w:ascii="Cambria Math" w:hAnsi="Cambria Math"/>
            </w:rPr>
            <m:t>结果</m:t>
          </m:r>
          <m:r>
            <w:rPr>
              <w:rFonts w:ascii="Cambria Math" w:hAnsi="Cambria Math"/>
            </w:rPr>
            <m:t>=α∗</m:t>
          </m:r>
          <m:r>
            <m:rPr>
              <m:sty m:val="p"/>
            </m:rPr>
            <w:rPr>
              <w:rFonts w:ascii="Cambria Math" w:hAnsi="Cambria Math"/>
            </w:rPr>
            <m:t>基线模型</m:t>
          </m:r>
          <m:r>
            <w:rPr>
              <w:rFonts w:ascii="Cambria Math" w:hAnsi="Cambria Math"/>
            </w:rPr>
            <m:t>+(1−α)∗</m:t>
          </m:r>
          <m:r>
            <m:rPr>
              <m:sty m:val="p"/>
            </m:rPr>
            <w:rPr>
              <w:rFonts w:ascii="Cambria Math" w:hAnsi="Cambria Math"/>
            </w:rPr>
            <m:t>经验模型</m:t>
          </m:r>
        </m:oMath>
      </m:oMathPara>
    </w:p>
    <w:p>
      <w:pPr>
        <w:spacing w:before="120" w:after="120" w:line="288" w:lineRule="auto"/>
        <w:ind w:left="0" w:firstLine="0"/>
        <w:jc w:val="left"/>
      </w:pPr>
      <w:r>
        <w:rPr>
          <w:rFonts w:eastAsia="等线" w:ascii="Arial" w:cs="Arial" w:hAnsi="Arial"/>
          <w:sz w:val="22"/>
        </w:rPr>
        <w:t>这个结果就是最后展示的预测发电量。</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3 作品模型图片</w:t>
      </w:r>
      <w:bookmarkEnd w:id="25"/>
    </w:p>
    <w:p>
      <w:pPr>
        <w:pStyle w:val="4"/>
        <w:spacing w:before="260" w:after="120" w:line="288" w:lineRule="auto"/>
        <w:ind w:left="0"/>
        <w:jc w:val="left"/>
        <w:outlineLvl w:val="3"/>
      </w:pPr>
      <w:bookmarkStart w:name="heading_26" w:id="26"/>
      <w:r>
        <w:rPr>
          <w:rFonts w:eastAsia="等线" w:ascii="Arial" w:cs="Arial" w:hAnsi="Arial"/>
          <w:b w:val="true"/>
          <w:sz w:val="28"/>
        </w:rPr>
        <w:t>3.1结构设计示意图</w:t>
      </w:r>
      <w:bookmarkEnd w:id="26"/>
    </w:p>
    <w:p>
      <w:pPr>
        <w:spacing w:before="120" w:after="120" w:line="288" w:lineRule="auto"/>
        <w:ind w:left="0"/>
        <w:jc w:val="center"/>
      </w:pPr>
      <w:r>
        <w:drawing>
          <wp:inline distT="0" distR="0" distB="0" distL="0">
            <wp:extent cx="4810125" cy="31432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4810125" cy="31432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场景视图</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6192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2476500" cy="16192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6192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2476500" cy="1619250"/>
                          </a:xfrm>
                          <a:prstGeom prst="rect">
                            <a:avLst/>
                          </a:prstGeom>
                        </pic:spPr>
                      </pic:pic>
                    </a:graphicData>
                  </a:graphic>
                </wp:inline>
              </w:drawing>
            </w:r>
          </w:p>
        </w:tc>
      </w:tr>
    </w:tbl>
    <w:p>
      <w:pPr>
        <w:spacing w:before="120" w:after="120" w:line="288" w:lineRule="auto"/>
        <w:ind w:left="0"/>
        <w:jc w:val="center"/>
      </w:pPr>
      <w:r>
        <w:rPr>
          <w:rFonts w:eastAsia="等线" w:ascii="Arial" w:cs="Arial" w:hAnsi="Arial"/>
          <w:sz w:val="22"/>
        </w:rPr>
        <w:t>挡风墙正视图                      挡风墙俯视图</w:t>
      </w:r>
    </w:p>
    <w:p>
      <w:pPr>
        <w:pStyle w:val="2"/>
        <w:spacing w:before="320" w:after="120" w:line="288" w:lineRule="auto"/>
        <w:ind w:left="0"/>
        <w:jc w:val="left"/>
        <w:outlineLvl w:val="1"/>
      </w:pPr>
      <w:bookmarkStart w:name="heading_27" w:id="27"/>
      <w:r>
        <w:rPr>
          <w:rFonts w:eastAsia="等线" w:ascii="Arial" w:cs="Arial" w:hAnsi="Arial"/>
          <w:b w:val="true"/>
          <w:sz w:val="32"/>
        </w:rPr>
        <w:t>4 工作原理</w:t>
      </w:r>
      <w:bookmarkEnd w:id="27"/>
    </w:p>
    <w:p>
      <w:pPr>
        <w:pStyle w:val="3"/>
        <w:spacing w:before="300" w:after="120" w:line="288" w:lineRule="auto"/>
        <w:ind w:left="0"/>
        <w:jc w:val="left"/>
        <w:outlineLvl w:val="2"/>
      </w:pPr>
      <w:bookmarkStart w:name="heading_28" w:id="28"/>
      <w:r>
        <w:rPr>
          <w:rFonts w:eastAsia="等线" w:ascii="Arial" w:cs="Arial" w:hAnsi="Arial"/>
          <w:b w:val="true"/>
          <w:sz w:val="30"/>
        </w:rPr>
        <w:t>4.1 系统工作流程</w:t>
      </w:r>
      <w:bookmarkEnd w:id="28"/>
    </w:p>
    <w:p>
      <w:pPr>
        <w:spacing w:before="120" w:after="120" w:line="288" w:lineRule="auto"/>
        <w:ind w:left="0" w:firstLine="0"/>
        <w:jc w:val="left"/>
      </w:pPr>
      <w:r>
        <w:rPr>
          <w:rFonts w:eastAsia="等线" w:ascii="Arial" w:cs="Arial" w:hAnsi="Arial"/>
          <w:sz w:val="22"/>
        </w:rPr>
        <w:t>本系统以 “气流精准调控 - 分层风能捕获 - 智能协同控制 - 全链路运维” 为核心逻辑，形成闭环运行流程：</w:t>
      </w:r>
    </w:p>
    <w:p>
      <w:pPr>
        <w:pStyle w:val="4"/>
        <w:spacing w:before="260" w:after="120" w:line="288" w:lineRule="auto"/>
        <w:ind w:left="0"/>
        <w:jc w:val="left"/>
        <w:outlineLvl w:val="3"/>
      </w:pPr>
      <w:bookmarkStart w:name="heading_29" w:id="29"/>
      <w:r>
        <w:rPr>
          <w:rFonts w:eastAsia="等线" w:ascii="Arial" w:cs="Arial" w:hAnsi="Arial"/>
          <w:b w:val="true"/>
          <w:sz w:val="28"/>
        </w:rPr>
        <w:t>4.1.1 气流调控与分层捕风阶段</w:t>
      </w:r>
      <w:bookmarkEnd w:id="29"/>
    </w:p>
    <w:p>
      <w:pPr>
        <w:spacing w:before="120" w:after="120" w:line="288" w:lineRule="auto"/>
        <w:ind w:left="0" w:firstLine="0"/>
        <w:jc w:val="left"/>
      </w:pPr>
      <w:r>
        <w:rPr>
          <w:rFonts w:eastAsia="等线" w:ascii="Arial" w:cs="Arial" w:hAnsi="Arial"/>
          <w:sz w:val="22"/>
        </w:rPr>
        <w:t>当风沙气流来袭时：</w:t>
      </w:r>
    </w:p>
    <w:p>
      <w:pPr>
        <w:numPr>
          <w:numId w:val="7"/>
        </w:numPr>
        <w:spacing w:before="120" w:after="120" w:line="288" w:lineRule="auto"/>
        <w:ind w:left="0"/>
        <w:jc w:val="left"/>
      </w:pPr>
      <w:r>
        <w:rPr>
          <w:rFonts w:eastAsia="等线" w:ascii="Arial" w:cs="Arial" w:hAnsi="Arial"/>
          <w:sz w:val="22"/>
        </w:rPr>
        <w:t>弧面导流与风速初步衰减：半圆截面立柱的弧面迎向主风方向，引导气流沿弧面平稳绕流（替代传统平面墙的强冲击），使</w:t>
      </w:r>
      <w:r>
        <w:rPr>
          <w:rFonts w:eastAsia="等线" w:ascii="Arial" w:cs="Arial" w:hAnsi="Arial"/>
          <w:color w:val="d83931"/>
          <w:sz w:val="22"/>
        </w:rPr>
        <w:t>40%</w:t>
      </w:r>
      <w:r>
        <w:rPr>
          <w:rFonts w:eastAsia="等线" w:ascii="Arial" w:cs="Arial" w:hAnsi="Arial"/>
          <w:sz w:val="22"/>
        </w:rPr>
        <w:t xml:space="preserve">的来流气流动能被立柱主体缓冲，墙前1m处风速衰减 </w:t>
      </w:r>
      <w:r>
        <w:rPr>
          <w:rFonts w:eastAsia="等线" w:ascii="Arial" w:cs="Arial" w:hAnsi="Arial"/>
          <w:color w:val="d83931"/>
          <w:sz w:val="22"/>
        </w:rPr>
        <w:t>20%-25%</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sz w:val="22"/>
        </w:rPr>
        <w:t>导风口汇聚与分层加速：剩余</w:t>
      </w:r>
      <w:r>
        <w:rPr>
          <w:rFonts w:eastAsia="等线" w:ascii="Arial" w:cs="Arial" w:hAnsi="Arial"/>
          <w:color w:val="d83931"/>
          <w:sz w:val="22"/>
        </w:rPr>
        <w:t>60%</w:t>
      </w:r>
      <w:r>
        <w:rPr>
          <w:rFonts w:eastAsia="等线" w:ascii="Arial" w:cs="Arial" w:hAnsi="Arial"/>
          <w:sz w:val="22"/>
        </w:rPr>
        <w:t>气流通过立柱间隙形成的导风口汇聚，利用狭管效应实现风速增强；结合双层横梁布局，上层导风口捕获高空高速气流，下层导风口捕获近地面气流，实现对不同高度风场的分层精准捕风。</w:t>
      </w:r>
    </w:p>
    <w:p>
      <w:pPr>
        <w:numPr>
          <w:numId w:val="9"/>
        </w:numPr>
        <w:spacing w:before="120" w:after="120" w:line="288" w:lineRule="auto"/>
        <w:ind w:left="0"/>
        <w:jc w:val="left"/>
      </w:pPr>
      <w:r>
        <w:rPr>
          <w:rFonts w:eastAsia="等线" w:ascii="Arial" w:cs="Arial" w:hAnsi="Arial"/>
          <w:sz w:val="22"/>
        </w:rPr>
        <w:t>镜场风环境优化：经立柱与导风口的协同调控后，墙后镜场区域气流由 “强湍流冲击流” 转化为 “平稳层流”，风速进一步衰减至来流风速的</w:t>
      </w:r>
      <w:r>
        <w:rPr>
          <w:rFonts w:eastAsia="等线" w:ascii="Arial" w:cs="Arial" w:hAnsi="Arial"/>
          <w:color w:val="d83931"/>
          <w:sz w:val="22"/>
        </w:rPr>
        <w:t>52%-65%</w:t>
      </w:r>
      <w:r>
        <w:rPr>
          <w:rFonts w:eastAsia="等线" w:ascii="Arial" w:cs="Arial" w:hAnsi="Arial"/>
          <w:sz w:val="22"/>
        </w:rPr>
        <w:t xml:space="preserve">，同时湍流强度控制在 </w:t>
      </w:r>
      <w:r>
        <w:rPr>
          <w:rFonts w:eastAsia="等线" w:ascii="Arial" w:cs="Arial" w:hAnsi="Arial"/>
          <w:color w:val="d83931"/>
          <w:sz w:val="22"/>
        </w:rPr>
        <w:t>0.12</w:t>
      </w:r>
      <w:r>
        <w:rPr>
          <w:rFonts w:eastAsia="等线" w:ascii="Arial" w:cs="Arial" w:hAnsi="Arial"/>
          <w:sz w:val="22"/>
        </w:rPr>
        <w:t xml:space="preserve"> 以下，避免沙粒对定日镜的高频冲击。</w:t>
      </w:r>
    </w:p>
    <w:p>
      <w:pPr>
        <w:pStyle w:val="4"/>
        <w:spacing w:before="260" w:after="120" w:line="288" w:lineRule="auto"/>
        <w:ind w:left="0"/>
        <w:jc w:val="left"/>
        <w:outlineLvl w:val="3"/>
      </w:pPr>
      <w:bookmarkStart w:name="heading_30" w:id="30"/>
      <w:r>
        <w:rPr>
          <w:rFonts w:eastAsia="等线" w:ascii="Arial" w:cs="Arial" w:hAnsi="Arial"/>
          <w:b w:val="true"/>
          <w:sz w:val="28"/>
        </w:rPr>
        <w:t>4.1.2 发电与智能控制阶段</w:t>
      </w:r>
      <w:bookmarkEnd w:id="30"/>
    </w:p>
    <w:p>
      <w:pPr>
        <w:numPr>
          <w:numId w:val="10"/>
        </w:numPr>
        <w:spacing w:before="120" w:after="120" w:line="288" w:lineRule="auto"/>
        <w:ind w:left="0"/>
        <w:jc w:val="left"/>
      </w:pPr>
      <w:r>
        <w:rPr>
          <w:rFonts w:eastAsia="等线" w:ascii="Arial" w:cs="Arial" w:hAnsi="Arial"/>
          <w:sz w:val="22"/>
        </w:rPr>
        <w:t>分层发电：上下层导风口的加速气流分别驱动对应风机叶片旋转，将风能转化为机械能，再通过永磁同步发电机转化为三相交流电。</w:t>
      </w:r>
    </w:p>
    <w:p>
      <w:pPr>
        <w:numPr>
          <w:numId w:val="11"/>
        </w:numPr>
        <w:spacing w:before="120" w:after="120" w:line="288" w:lineRule="auto"/>
        <w:ind w:left="0"/>
        <w:jc w:val="left"/>
      </w:pPr>
      <w:r>
        <w:rPr>
          <w:rFonts w:eastAsia="等线" w:ascii="Arial" w:cs="Arial" w:hAnsi="Arial"/>
          <w:sz w:val="22"/>
        </w:rPr>
        <w:t>多参数协同控制：Simulink 控制系统实时采集当前风速，经过控制模块控制桨距角并控制风机转速达到目标转速。</w:t>
      </w:r>
    </w:p>
    <w:p>
      <w:pPr>
        <w:numPr>
          <w:numId w:val="12"/>
        </w:numPr>
        <w:spacing w:before="120" w:after="120" w:line="288" w:lineRule="auto"/>
        <w:ind w:left="0"/>
        <w:jc w:val="left"/>
      </w:pPr>
      <w:r>
        <w:rPr>
          <w:rFonts w:eastAsia="等线" w:ascii="Arial" w:cs="Arial" w:hAnsi="Arial"/>
          <w:sz w:val="22"/>
        </w:rPr>
        <w:t>PID 动态调节：以电网接入标准（AC 380V/50Hz）为目标值，通过 PID 算法动态修正风机变桨距角：当风速升高导致输出电压超限时，增大桨距角降低风能捕获效率；当光热负荷突增时，减小桨距角提升发电功率，最终实现电压电流波动率稳定在±5%以内。</w:t>
      </w:r>
    </w:p>
    <w:p>
      <w:pPr>
        <w:numPr>
          <w:numId w:val="13"/>
        </w:numPr>
        <w:spacing w:before="120" w:after="120" w:line="288" w:lineRule="auto"/>
        <w:ind w:left="0"/>
        <w:jc w:val="left"/>
      </w:pPr>
      <w:r>
        <w:rPr>
          <w:rFonts w:eastAsia="等线" w:ascii="Arial" w:cs="Arial" w:hAnsi="Arial"/>
          <w:sz w:val="22"/>
        </w:rPr>
        <w:t>能源协同供给：稳定后的电能分为两路输出：80%接入区域电网，20%供给定日镜的追光驱动、镜面清洗等辅助设施，替代光热电站的自用电力消耗。</w:t>
      </w:r>
    </w:p>
    <w:p>
      <w:pPr>
        <w:pStyle w:val="4"/>
        <w:spacing w:before="260" w:after="120" w:line="288" w:lineRule="auto"/>
        <w:ind w:left="0"/>
        <w:jc w:val="left"/>
        <w:outlineLvl w:val="3"/>
      </w:pPr>
      <w:bookmarkStart w:name="heading_31" w:id="31"/>
      <w:r>
        <w:rPr>
          <w:rFonts w:eastAsia="等线" w:ascii="Arial" w:cs="Arial" w:hAnsi="Arial"/>
          <w:b w:val="true"/>
          <w:sz w:val="28"/>
        </w:rPr>
        <w:t>4.1.3 全链路运维监控阶段</w:t>
      </w:r>
      <w:bookmarkEnd w:id="31"/>
    </w:p>
    <w:p>
      <w:pPr>
        <w:spacing w:before="120" w:after="120" w:line="288" w:lineRule="auto"/>
        <w:ind w:left="0" w:firstLine="0"/>
        <w:jc w:val="left"/>
      </w:pPr>
      <w:r>
        <w:rPr>
          <w:rFonts w:eastAsia="等线" w:ascii="Arial" w:cs="Arial" w:hAnsi="Arial"/>
          <w:sz w:val="22"/>
        </w:rPr>
        <w:t xml:space="preserve">可视化监控网页作为系统全链路运维的核心枢纽，深度衔接流体仿真数据、发电控制系统数据与现场传感器实时数据，构建“数据采集 - 实时呈现 - 智能分析 - 运维响应”的闭环运维体系，具体实现如下： </w:t>
      </w:r>
    </w:p>
    <w:p>
      <w:pPr>
        <w:numPr>
          <w:numId w:val="14"/>
        </w:numPr>
        <w:spacing w:before="120" w:after="120" w:line="288" w:lineRule="auto"/>
        <w:ind w:left="0"/>
        <w:jc w:val="left"/>
      </w:pPr>
      <w:r>
        <w:rPr>
          <w:rFonts w:eastAsia="等线" w:ascii="Arial" w:cs="Arial" w:hAnsi="Arial"/>
          <w:sz w:val="22"/>
        </w:rPr>
        <w:t>多源数据实时汇聚与可视化呈现：网页平台通过 Python Flask后端接口，同步采集三类核心数据 ——Fluent流体仿真输出的墙前 / 后风速分布、导风口风速增强比等环境参数；Simulink控制系统上传的风机转速、输出电压电流、实时发电量等运行参数；现场传感器采集的风沙强度、设备振动、线缆温度等物理状态参数。所有数据经清洗处理后，以动态仪表盘、风速云图、发电量趋势曲线等可视化形式呈现，支持 1 秒 / 次实时刷新，运维人员可直观掌握镜场防风效果与发电系统运行状态，核心参数偏差实时标注。</w:t>
      </w:r>
    </w:p>
    <w:p>
      <w:pPr>
        <w:numPr>
          <w:numId w:val="15"/>
        </w:numPr>
        <w:spacing w:before="120" w:after="120" w:line="288" w:lineRule="auto"/>
        <w:ind w:left="0"/>
        <w:jc w:val="left"/>
      </w:pPr>
      <w:r>
        <w:rPr>
          <w:rFonts w:eastAsia="等线" w:ascii="Arial" w:cs="Arial" w:hAnsi="Arial"/>
          <w:sz w:val="22"/>
        </w:rPr>
        <w:t>智能预测与调度辅助：基于历史365天风速数据、Simulink仿真发电量曲线及光热电站供电需求，网页内置机器学习预测模型，自动生成未来 24 小时发电量变化趋势图，并标注峰值发电时段与最低供电保障阈值。同时，结合电网实时负荷数据，给出风机出力调节建议，为电网调度与光热 - 风电协同供电提供数据支撑，避免能源浪费或供电缺口。</w:t>
      </w:r>
    </w:p>
    <w:p>
      <w:pPr>
        <w:numPr>
          <w:numId w:val="16"/>
        </w:numPr>
        <w:spacing w:before="120" w:after="120" w:line="288" w:lineRule="auto"/>
        <w:ind w:left="0"/>
        <w:jc w:val="left"/>
      </w:pPr>
      <w:r>
        <w:rPr>
          <w:rFonts w:eastAsia="等线" w:ascii="Arial" w:cs="Arial" w:hAnsi="Arial"/>
          <w:sz w:val="22"/>
        </w:rPr>
        <w:t>全场景故障诊断与快速响应：网页预设多维度预警阈值（如风机转速波动＞±8%、电压波动率＞±5%、风速突变＞3m/s、线缆温度＞65℃等），当监测到异常数据时，系统通过故障诊断算法自动定位故障类型（机械故障 / 电气故障 / 环境干扰）、精准标识故障位置（具体风机编号、立柱区域），并基于运维知识库推送分级处理建议（远程参数修正 / 现场检修 / 紧急停机）。故障信息同步以弹窗、短信双渠道告警，确保运维人员 10 分钟内响应，结合网页远程操控权限，可直接下达风机转速调节、临时停机等指令，故障处理效率提升 70%。</w:t>
      </w:r>
    </w:p>
    <w:p>
      <w:pPr>
        <w:spacing w:before="120" w:after="120" w:line="288" w:lineRule="auto"/>
        <w:ind w:left="0" w:firstLine="0"/>
        <w:jc w:val="left"/>
      </w:pPr>
    </w:p>
    <w:p>
      <w:pPr>
        <w:pStyle w:val="2"/>
        <w:spacing w:before="320" w:after="120" w:line="288" w:lineRule="auto"/>
        <w:ind w:left="0"/>
        <w:jc w:val="left"/>
        <w:outlineLvl w:val="1"/>
      </w:pPr>
      <w:bookmarkStart w:name="heading_32" w:id="32"/>
      <w:r>
        <w:rPr>
          <w:rFonts w:eastAsia="等线" w:ascii="Arial" w:cs="Arial" w:hAnsi="Arial"/>
          <w:b w:val="true"/>
          <w:sz w:val="32"/>
        </w:rPr>
        <w:t>5 经济性分析</w:t>
      </w:r>
      <w:bookmarkEnd w:id="32"/>
    </w:p>
    <w:p>
      <w:pPr>
        <w:numPr>
          <w:numId w:val="17"/>
        </w:numPr>
        <w:spacing w:before="120" w:after="120" w:line="288" w:lineRule="auto"/>
        <w:ind w:left="0"/>
        <w:jc w:val="left"/>
      </w:pPr>
      <w:r>
        <w:rPr>
          <w:rFonts w:eastAsia="等线" w:ascii="Arial" w:cs="Arial" w:hAnsi="Arial"/>
          <w:b w:val="true"/>
          <w:sz w:val="22"/>
        </w:rPr>
        <w:t>成本核算：</w:t>
      </w:r>
      <w:r>
        <w:rPr>
          <w:rFonts w:eastAsia="等线" w:ascii="Arial" w:cs="Arial" w:hAnsi="Arial"/>
          <w:sz w:val="22"/>
        </w:rPr>
        <w:t>项目的总投资成本约为14000元/台，年运营成本约为3600元/ 年/每台机组，明细如下：</w:t>
      </w:r>
    </w:p>
    <w:p>
      <w:pPr>
        <w:spacing w:before="120" w:after="120" w:line="288" w:lineRule="auto"/>
        <w:ind w:left="0"/>
        <w:jc w:val="left"/>
      </w:pPr>
      <w:r>
        <w:rPr>
          <w:rFonts w:eastAsia="等线" w:ascii="Arial" w:cs="Arial" w:hAnsi="Arial"/>
          <w:sz w:val="22"/>
        </w:rPr>
        <w:t>单台设备及其辅助系统的投资成本：</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41pt;mso-width-percent:0;mso-height-percent:0;mso-width-percent:0;mso-height-percent:0" type="#_x0000_t75" o:ole="">
            <v:imagedata r:id="rId31" o:title=""/>
          </v:shape>
          <o:OLEObject DrawAspect="Icon" ObjectID="_1718471219" ProgID="Excel.Sheet.12" ShapeID="_x0000_i1025" Type="Embed" r:id="rId3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年度运营维护成本：</w:t>
      </w:r>
    </w:p>
    <w:p>
      <w:pPr>
        <w:spacing w:before="120" w:after="120" w:line="288" w:lineRule="auto"/>
        <w:ind w:left="0"/>
      </w:pPr>
      <w:r>
        <w:object>
          <v:shape id="_x0000_i1026" style="width:414pt;height:141pt;mso-width-percent:0;mso-height-percent:0;mso-width-percent:0;mso-height-percent:0" type="#_x0000_t75" o:ole="">
            <v:imagedata r:id="rId33" o:title=""/>
          </v:shape>
          <o:OLEObject DrawAspect="Icon" ObjectID="_1718471220" ProgID="Excel.Sheet.12" ShapeID="_x0000_i1026" Type="Embed" r:id="rId32"/>
        </w:object>
      </w:r>
    </w:p>
    <w:p>
      <w:pPr>
        <w:spacing w:after="120"/>
        <w:ind w:left="0"/>
        <w:jc w:val="center"/>
      </w:pPr>
      <w:r>
        <w:rPr>
          <w:rFonts w:eastAsia="等线" w:ascii="Arial" w:cs="Arial" w:hAnsi="Arial"/>
          <w:b w:val="true"/>
          <w:sz w:val="22"/>
        </w:rPr>
        <w:t>点击图片可查看完整电子表格</w:t>
      </w:r>
    </w:p>
    <w:p>
      <w:pPr>
        <w:numPr>
          <w:numId w:val="18"/>
        </w:numPr>
        <w:spacing w:before="120" w:after="120" w:line="288" w:lineRule="auto"/>
        <w:ind w:left="0"/>
        <w:jc w:val="left"/>
      </w:pPr>
      <w:r>
        <w:rPr>
          <w:rFonts w:eastAsia="等线" w:ascii="Arial" w:cs="Arial" w:hAnsi="Arial"/>
          <w:b w:val="true"/>
          <w:sz w:val="22"/>
        </w:rPr>
        <w:t>产能核算：</w:t>
      </w:r>
      <w:r>
        <w:rPr>
          <w:rFonts w:eastAsia="等线" w:ascii="Arial" w:cs="Arial" w:hAnsi="Arial"/>
          <w:sz w:val="22"/>
        </w:rPr>
        <w:t xml:space="preserve"> 单台 5kW 机组年有效发电小时数按 </w:t>
      </w:r>
      <w:r>
        <w:rPr>
          <w:rFonts w:eastAsia="等线" w:ascii="Arial" w:cs="Arial" w:hAnsi="Arial"/>
          <w:b w:val="true"/>
          <w:sz w:val="22"/>
        </w:rPr>
        <w:t>3000 小时</w:t>
      </w:r>
      <w:r>
        <w:rPr>
          <w:rFonts w:eastAsia="等线" w:ascii="Arial" w:cs="Arial" w:hAnsi="Arial"/>
          <w:sz w:val="22"/>
        </w:rPr>
        <w:t xml:space="preserve"> 计，年发电量可达 </w:t>
      </w:r>
      <w:r>
        <w:rPr>
          <w:rFonts w:eastAsia="等线" w:ascii="Arial" w:cs="Arial" w:hAnsi="Arial"/>
          <w:b w:val="true"/>
          <w:sz w:val="22"/>
        </w:rPr>
        <w:t>15,000 kWh</w:t>
      </w:r>
      <w:r>
        <w:rPr>
          <w:rFonts w:eastAsia="等线" w:ascii="Arial" w:cs="Arial" w:hAnsi="Arial"/>
          <w:sz w:val="22"/>
        </w:rPr>
        <w:t>。以新疆工业电价 0.50 元/kWh、上网电价0.25 元/kWh计算：</w:t>
      </w:r>
    </w:p>
    <w:p>
      <w:pPr>
        <w:spacing w:before="120" w:after="120" w:line="288" w:lineRule="auto"/>
        <w:ind w:left="0"/>
      </w:pPr>
      <w:r>
        <w:object>
          <v:shape id="_x0000_i1027" style="width:414pt;height:107pt;mso-width-percent:0;mso-height-percent:0;mso-width-percent:0;mso-height-percent:0" type="#_x0000_t75" o:ole="">
            <v:imagedata r:id="rId35" o:title=""/>
          </v:shape>
          <o:OLEObject DrawAspect="Icon" ObjectID="_1718471221" ProgID="Excel.Sheet.12" ShapeID="_x0000_i1027" Type="Embed" r:id="rId34"/>
        </w:object>
      </w:r>
    </w:p>
    <w:p>
      <w:pPr>
        <w:spacing w:after="120"/>
        <w:ind w:left="0"/>
        <w:jc w:val="center"/>
      </w:pPr>
      <w:r>
        <w:rPr>
          <w:rFonts w:eastAsia="等线" w:ascii="Arial" w:cs="Arial" w:hAnsi="Arial"/>
          <w:b w:val="true"/>
          <w:sz w:val="22"/>
        </w:rPr>
        <w:t>点击图片可查看完整电子表格</w:t>
      </w:r>
    </w:p>
    <w:p>
      <w:pPr>
        <w:numPr>
          <w:numId w:val="19"/>
        </w:numPr>
        <w:spacing w:before="120" w:after="120" w:line="288" w:lineRule="auto"/>
        <w:ind w:left="0"/>
        <w:jc w:val="left"/>
      </w:pPr>
      <w:r>
        <w:rPr>
          <w:rFonts w:eastAsia="等线" w:ascii="Arial" w:cs="Arial" w:hAnsi="Arial"/>
          <w:b w:val="true"/>
          <w:sz w:val="22"/>
        </w:rPr>
        <w:t>投资回收：，</w:t>
      </w:r>
      <w:r>
        <w:rPr>
          <w:rFonts w:eastAsia="等线" w:ascii="Arial" w:cs="Arial" w:hAnsi="Arial"/>
          <w:sz w:val="22"/>
        </w:rPr>
        <w:t>自发自用模式的投资回收期较短，仅为3.6年，具有很好的经济性；余电上网模式的回收期为5.1年，也在可接受范围内。</w:t>
      </w:r>
    </w:p>
    <w:p>
      <w:pPr>
        <w:numPr>
          <w:numId w:val="20"/>
        </w:numPr>
        <w:spacing w:before="120" w:after="120" w:line="288" w:lineRule="auto"/>
        <w:ind w:left="0"/>
        <w:jc w:val="left"/>
      </w:pPr>
      <w:r>
        <w:rPr>
          <w:rFonts w:eastAsia="等线" w:ascii="Arial" w:cs="Arial" w:hAnsi="Arial"/>
          <w:b w:val="true"/>
          <w:sz w:val="22"/>
        </w:rPr>
        <w:t>减排环境效益：</w:t>
      </w:r>
      <w:r>
        <w:rPr>
          <w:rFonts w:eastAsia="等线" w:ascii="Arial" w:cs="Arial" w:hAnsi="Arial"/>
          <w:sz w:val="22"/>
        </w:rPr>
        <w:t xml:space="preserve"> 镜场核心区风速衰减率达 34%-49%，使定日镜镜面磨损率从 8%-12% 锐减至 3.5% 以下，每年可减少数千平方米反射镜片的更换，降低了废旧玻璃处理的碳足迹。</w:t>
      </w:r>
    </w:p>
    <w:p>
      <w:pPr>
        <w:pStyle w:val="2"/>
        <w:spacing w:before="320" w:after="120" w:line="288" w:lineRule="auto"/>
        <w:ind w:left="0"/>
        <w:jc w:val="left"/>
        <w:outlineLvl w:val="1"/>
      </w:pPr>
      <w:bookmarkStart w:name="heading_33" w:id="33"/>
      <w:r>
        <w:rPr>
          <w:rFonts w:eastAsia="等线" w:ascii="Arial" w:cs="Arial" w:hAnsi="Arial"/>
          <w:b w:val="true"/>
          <w:sz w:val="32"/>
        </w:rPr>
        <w:t>6 创新点及应用前景</w:t>
      </w:r>
      <w:bookmarkEnd w:id="33"/>
    </w:p>
    <w:p>
      <w:pPr>
        <w:pStyle w:val="3"/>
        <w:spacing w:before="300" w:after="120" w:line="288" w:lineRule="auto"/>
        <w:ind w:left="0"/>
        <w:jc w:val="left"/>
        <w:outlineLvl w:val="2"/>
      </w:pPr>
      <w:bookmarkStart w:name="heading_34" w:id="34"/>
      <w:r>
        <w:rPr>
          <w:rFonts w:eastAsia="等线" w:ascii="Arial" w:cs="Arial" w:hAnsi="Arial"/>
          <w:b w:val="true"/>
          <w:sz w:val="30"/>
        </w:rPr>
        <w:t>6.1 创新点</w:t>
      </w:r>
      <w:bookmarkEnd w:id="34"/>
    </w:p>
    <w:p>
      <w:pPr>
        <w:numPr>
          <w:numId w:val="21"/>
        </w:numPr>
        <w:spacing w:before="120" w:after="120" w:line="288" w:lineRule="auto"/>
        <w:ind w:left="0"/>
        <w:jc w:val="left"/>
      </w:pPr>
      <w:r>
        <w:rPr>
          <w:rFonts w:eastAsia="等线" w:ascii="Arial" w:cs="Arial" w:hAnsi="Arial"/>
          <w:sz w:val="22"/>
        </w:rPr>
        <w:t>多场耦合仿真优化：融合Fluent流体仿真与Simulink控制仿真，实现挡风墙结构与发电系统的精准匹配，解决传统设计“凭经验选型”的弊端；</w:t>
      </w:r>
    </w:p>
    <w:p>
      <w:pPr>
        <w:numPr>
          <w:numId w:val="22"/>
        </w:numPr>
        <w:spacing w:before="120" w:after="120" w:line="288" w:lineRule="auto"/>
        <w:ind w:left="0"/>
        <w:jc w:val="left"/>
      </w:pPr>
      <w:r>
        <w:rPr>
          <w:rFonts w:eastAsia="等线" w:ascii="Arial" w:cs="Arial" w:hAnsi="Arial"/>
          <w:sz w:val="22"/>
        </w:rPr>
        <w:t>智能协同控制策略：以风速和光热发电量为双输入，通过PID闭环控制保障供电稳定，实现风能与光热能源的互补协同；</w:t>
      </w:r>
    </w:p>
    <w:p>
      <w:pPr>
        <w:numPr>
          <w:numId w:val="23"/>
        </w:numPr>
        <w:spacing w:before="120" w:after="120" w:line="288" w:lineRule="auto"/>
        <w:ind w:left="0"/>
        <w:jc w:val="left"/>
      </w:pPr>
      <w:r>
        <w:rPr>
          <w:rFonts w:eastAsia="等线" w:ascii="Arial" w:cs="Arial" w:hAnsi="Arial"/>
          <w:sz w:val="22"/>
        </w:rPr>
        <w:t>可视化运维体系：开发专属监控网页，将仿真数据、实时运行状态与故障诊断一体化呈现，降低沙漠地区运维难度；</w:t>
      </w:r>
    </w:p>
    <w:p>
      <w:pPr>
        <w:numPr>
          <w:numId w:val="24"/>
        </w:numPr>
        <w:spacing w:before="120" w:after="120" w:line="288" w:lineRule="auto"/>
        <w:ind w:left="0"/>
        <w:jc w:val="left"/>
      </w:pPr>
      <w:r>
        <w:rPr>
          <w:rFonts w:eastAsia="等线" w:ascii="Arial" w:cs="Arial" w:hAnsi="Arial"/>
          <w:sz w:val="22"/>
        </w:rPr>
        <w:t>集成化设计理念：“一墙两用”实现防风护镜与风力发电功能集成，土地利用率提升50%以上。</w:t>
      </w:r>
    </w:p>
    <w:p>
      <w:pPr>
        <w:pStyle w:val="3"/>
        <w:spacing w:before="300" w:after="120" w:line="288" w:lineRule="auto"/>
        <w:ind w:left="0"/>
        <w:jc w:val="left"/>
        <w:outlineLvl w:val="2"/>
      </w:pPr>
      <w:bookmarkStart w:name="heading_35" w:id="35"/>
      <w:r>
        <w:rPr>
          <w:rFonts w:eastAsia="等线" w:ascii="Arial" w:cs="Arial" w:hAnsi="Arial"/>
          <w:b w:val="true"/>
          <w:sz w:val="30"/>
        </w:rPr>
        <w:t>6.2 应用前景</w:t>
      </w:r>
      <w:bookmarkEnd w:id="35"/>
    </w:p>
    <w:p>
      <w:pPr>
        <w:spacing w:before="120" w:after="120" w:line="288" w:lineRule="auto"/>
        <w:ind w:left="0" w:firstLine="420"/>
        <w:jc w:val="left"/>
      </w:pPr>
      <w:r>
        <w:rPr>
          <w:rFonts w:eastAsia="等线" w:ascii="Arial" w:cs="Arial" w:hAnsi="Arial"/>
          <w:sz w:val="22"/>
        </w:rPr>
        <w:t>本系统适用于我国西部沙漠、戈壁等强风强光照地区的现有及新建塔式光热发电站，可直接对接国家千万千瓦级风电基地建设需求。按单台风机年发电量15000kWh计算，替代化石能源可年减少CO₂排放约12吨（按火电煤耗300g/kWh、碳排放系数0.8kgCO₂/kg煤计算）；同时延长定日镜寿命3-5年，降低设备更换成本。随着新能源政策持续推进，该系统可在新疆哈密、甘肃酒泉等风资源富集区域规模化推广，市场应用前景广阔。</w:t>
      </w:r>
    </w:p>
    <w:p>
      <w:pPr>
        <w:spacing w:before="120" w:after="120" w:line="288" w:lineRule="auto"/>
        <w:ind w:left="0" w:firstLine="0"/>
        <w:jc w:val="left"/>
      </w:pPr>
    </w:p>
    <w:p>
      <w:pPr>
        <w:numPr>
          <w:numId w:val="25"/>
        </w:numPr>
        <w:spacing w:before="120" w:after="120" w:line="288" w:lineRule="auto"/>
        <w:ind w:left="0"/>
        <w:jc w:val="left"/>
      </w:pPr>
      <w:r>
        <w:rPr>
          <w:rFonts w:eastAsia="等线" w:ascii="Arial" w:cs="Arial" w:hAnsi="Arial"/>
          <w:sz w:val="22"/>
        </w:rPr>
        <w:t>喻宁招，张峰凌，张凤举，等。沙漠地区光热电站镜场挡风抑尘墙设计 [J]. 建筑技术开发，2022, 49 (S1): 636-640.</w:t>
      </w:r>
    </w:p>
    <w:sectPr>
      <w:footerReference w:type="default" r:id="rId3"/>
      <w:headerReference w:type="default" r:id="rId3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05361">
    <w:lvl>
      <w:start w:val="1"/>
      <w:numFmt w:val="decimal"/>
      <w:suff w:val="tab"/>
      <w:lvlText w:val="%1."/>
      <w:rPr>
        <w:color w:val="3370ff"/>
      </w:rPr>
    </w:lvl>
  </w:abstractNum>
  <w:abstractNum w:abstractNumId="905362">
    <w:lvl>
      <w:start w:val="2"/>
      <w:numFmt w:val="decimal"/>
      <w:suff w:val="tab"/>
      <w:lvlText w:val="%1."/>
      <w:rPr>
        <w:color w:val="3370ff"/>
      </w:rPr>
    </w:lvl>
  </w:abstractNum>
  <w:abstractNum w:abstractNumId="905363">
    <w:lvl>
      <w:start w:val="3"/>
      <w:numFmt w:val="decimal"/>
      <w:suff w:val="tab"/>
      <w:lvlText w:val="%1."/>
      <w:rPr>
        <w:color w:val="3370ff"/>
      </w:rPr>
    </w:lvl>
  </w:abstractNum>
  <w:abstractNum w:abstractNumId="905364">
    <w:lvl>
      <w:start w:val="1"/>
      <w:numFmt w:val="decimal"/>
      <w:suff w:val="tab"/>
      <w:lvlText w:val="%1."/>
      <w:rPr>
        <w:color w:val="3370ff"/>
      </w:rPr>
    </w:lvl>
  </w:abstractNum>
  <w:abstractNum w:abstractNumId="905365">
    <w:lvl>
      <w:start w:val="2"/>
      <w:numFmt w:val="decimal"/>
      <w:suff w:val="tab"/>
      <w:lvlText w:val="%1."/>
      <w:rPr>
        <w:color w:val="3370ff"/>
      </w:rPr>
    </w:lvl>
  </w:abstractNum>
  <w:abstractNum w:abstractNumId="905366">
    <w:lvl>
      <w:start w:val="3"/>
      <w:numFmt w:val="decimal"/>
      <w:suff w:val="tab"/>
      <w:lvlText w:val="%1."/>
      <w:rPr>
        <w:color w:val="3370ff"/>
      </w:rPr>
    </w:lvl>
  </w:abstractNum>
  <w:abstractNum w:abstractNumId="905367">
    <w:lvl>
      <w:start w:val="1"/>
      <w:numFmt w:val="decimal"/>
      <w:suff w:val="tab"/>
      <w:lvlText w:val="%1."/>
      <w:rPr>
        <w:color w:val="3370ff"/>
      </w:rPr>
    </w:lvl>
  </w:abstractNum>
  <w:abstractNum w:abstractNumId="905368">
    <w:lvl>
      <w:start w:val="2"/>
      <w:numFmt w:val="decimal"/>
      <w:suff w:val="tab"/>
      <w:lvlText w:val="%1."/>
      <w:rPr>
        <w:color w:val="3370ff"/>
      </w:rPr>
    </w:lvl>
  </w:abstractNum>
  <w:abstractNum w:abstractNumId="905369">
    <w:lvl>
      <w:start w:val="3"/>
      <w:numFmt w:val="decimal"/>
      <w:suff w:val="tab"/>
      <w:lvlText w:val="%1."/>
      <w:rPr>
        <w:color w:val="3370ff"/>
      </w:rPr>
    </w:lvl>
  </w:abstractNum>
  <w:abstractNum w:abstractNumId="905370">
    <w:lvl>
      <w:start w:val="1"/>
      <w:numFmt w:val="decimal"/>
      <w:suff w:val="tab"/>
      <w:lvlText w:val="%1."/>
      <w:rPr>
        <w:color w:val="3370ff"/>
      </w:rPr>
    </w:lvl>
  </w:abstractNum>
  <w:abstractNum w:abstractNumId="905371">
    <w:lvl>
      <w:start w:val="2"/>
      <w:numFmt w:val="decimal"/>
      <w:suff w:val="tab"/>
      <w:lvlText w:val="%1."/>
      <w:rPr>
        <w:color w:val="3370ff"/>
      </w:rPr>
    </w:lvl>
  </w:abstractNum>
  <w:abstractNum w:abstractNumId="905372">
    <w:lvl>
      <w:start w:val="3"/>
      <w:numFmt w:val="decimal"/>
      <w:suff w:val="tab"/>
      <w:lvlText w:val="%1."/>
      <w:rPr>
        <w:color w:val="3370ff"/>
      </w:rPr>
    </w:lvl>
  </w:abstractNum>
  <w:abstractNum w:abstractNumId="905373">
    <w:lvl>
      <w:start w:val="4"/>
      <w:numFmt w:val="decimal"/>
      <w:suff w:val="tab"/>
      <w:lvlText w:val="%1."/>
      <w:rPr>
        <w:color w:val="3370ff"/>
      </w:rPr>
    </w:lvl>
  </w:abstractNum>
  <w:abstractNum w:abstractNumId="905374">
    <w:lvl>
      <w:start w:val="1"/>
      <w:numFmt w:val="decimal"/>
      <w:suff w:val="tab"/>
      <w:lvlText w:val="%1."/>
      <w:rPr>
        <w:color w:val="3370ff"/>
      </w:rPr>
    </w:lvl>
  </w:abstractNum>
  <w:abstractNum w:abstractNumId="905375">
    <w:lvl>
      <w:start w:val="2"/>
      <w:numFmt w:val="decimal"/>
      <w:suff w:val="tab"/>
      <w:lvlText w:val="%1."/>
      <w:rPr>
        <w:color w:val="3370ff"/>
      </w:rPr>
    </w:lvl>
  </w:abstractNum>
  <w:abstractNum w:abstractNumId="905376">
    <w:lvl>
      <w:start w:val="3"/>
      <w:numFmt w:val="decimal"/>
      <w:suff w:val="tab"/>
      <w:lvlText w:val="%1."/>
      <w:rPr>
        <w:color w:val="3370ff"/>
      </w:rPr>
    </w:lvl>
  </w:abstractNum>
  <w:abstractNum w:abstractNumId="905377">
    <w:lvl>
      <w:start w:val="1"/>
      <w:numFmt w:val="decimal"/>
      <w:suff w:val="tab"/>
      <w:lvlText w:val="%1."/>
      <w:rPr>
        <w:color w:val="3370ff"/>
      </w:rPr>
    </w:lvl>
  </w:abstractNum>
  <w:abstractNum w:abstractNumId="905378">
    <w:lvl>
      <w:start w:val="2"/>
      <w:numFmt w:val="decimal"/>
      <w:suff w:val="tab"/>
      <w:lvlText w:val="%1."/>
      <w:rPr>
        <w:color w:val="3370ff"/>
      </w:rPr>
    </w:lvl>
  </w:abstractNum>
  <w:abstractNum w:abstractNumId="905379">
    <w:lvl>
      <w:start w:val="3"/>
      <w:numFmt w:val="decimal"/>
      <w:suff w:val="tab"/>
      <w:lvlText w:val="%1."/>
      <w:rPr>
        <w:color w:val="3370ff"/>
      </w:rPr>
    </w:lvl>
  </w:abstractNum>
  <w:abstractNum w:abstractNumId="905380">
    <w:lvl>
      <w:start w:val="4"/>
      <w:numFmt w:val="decimal"/>
      <w:suff w:val="tab"/>
      <w:lvlText w:val="%1."/>
      <w:rPr>
        <w:color w:val="3370ff"/>
      </w:rPr>
    </w:lvl>
  </w:abstractNum>
  <w:abstractNum w:abstractNumId="905381">
    <w:lvl>
      <w:start w:val="1"/>
      <w:numFmt w:val="decimal"/>
      <w:suff w:val="tab"/>
      <w:lvlText w:val="%1."/>
      <w:rPr>
        <w:color w:val="3370ff"/>
      </w:rPr>
    </w:lvl>
  </w:abstractNum>
  <w:abstractNum w:abstractNumId="905382">
    <w:lvl>
      <w:start w:val="2"/>
      <w:numFmt w:val="decimal"/>
      <w:suff w:val="tab"/>
      <w:lvlText w:val="%1."/>
      <w:rPr>
        <w:color w:val="3370ff"/>
      </w:rPr>
    </w:lvl>
  </w:abstractNum>
  <w:abstractNum w:abstractNumId="905383">
    <w:lvl>
      <w:start w:val="3"/>
      <w:numFmt w:val="decimal"/>
      <w:suff w:val="tab"/>
      <w:lvlText w:val="%1."/>
      <w:rPr>
        <w:color w:val="3370ff"/>
      </w:rPr>
    </w:lvl>
  </w:abstractNum>
  <w:abstractNum w:abstractNumId="905384">
    <w:lvl>
      <w:start w:val="4"/>
      <w:numFmt w:val="decimal"/>
      <w:suff w:val="tab"/>
      <w:lvlText w:val="%1."/>
      <w:rPr>
        <w:color w:val="3370ff"/>
      </w:rPr>
    </w:lvl>
  </w:abstractNum>
  <w:abstractNum w:abstractNumId="905385">
    <w:lvl>
      <w:start w:val="1"/>
      <w:numFmt w:val="decimal"/>
      <w:suff w:val="tab"/>
      <w:lvlText w:val="%1."/>
      <w:rPr>
        <w:color w:val="3370ff"/>
      </w:rPr>
    </w:lvl>
  </w:abstractNum>
  <w:num w:numId="1">
    <w:abstractNumId w:val="905361"/>
  </w:num>
  <w:num w:numId="2">
    <w:abstractNumId w:val="905362"/>
  </w:num>
  <w:num w:numId="3">
    <w:abstractNumId w:val="905363"/>
  </w:num>
  <w:num w:numId="4">
    <w:abstractNumId w:val="905364"/>
  </w:num>
  <w:num w:numId="5">
    <w:abstractNumId w:val="905365"/>
  </w:num>
  <w:num w:numId="6">
    <w:abstractNumId w:val="905366"/>
  </w:num>
  <w:num w:numId="7">
    <w:abstractNumId w:val="905367"/>
  </w:num>
  <w:num w:numId="8">
    <w:abstractNumId w:val="905368"/>
  </w:num>
  <w:num w:numId="9">
    <w:abstractNumId w:val="905369"/>
  </w:num>
  <w:num w:numId="10">
    <w:abstractNumId w:val="905370"/>
  </w:num>
  <w:num w:numId="11">
    <w:abstractNumId w:val="905371"/>
  </w:num>
  <w:num w:numId="12">
    <w:abstractNumId w:val="905372"/>
  </w:num>
  <w:num w:numId="13">
    <w:abstractNumId w:val="905373"/>
  </w:num>
  <w:num w:numId="14">
    <w:abstractNumId w:val="905374"/>
  </w:num>
  <w:num w:numId="15">
    <w:abstractNumId w:val="905375"/>
  </w:num>
  <w:num w:numId="16">
    <w:abstractNumId w:val="905376"/>
  </w:num>
  <w:num w:numId="17">
    <w:abstractNumId w:val="905377"/>
  </w:num>
  <w:num w:numId="18">
    <w:abstractNumId w:val="905378"/>
  </w:num>
  <w:num w:numId="19">
    <w:abstractNumId w:val="905379"/>
  </w:num>
  <w:num w:numId="20">
    <w:abstractNumId w:val="905380"/>
  </w:num>
  <w:num w:numId="21">
    <w:abstractNumId w:val="905381"/>
  </w:num>
  <w:num w:numId="22">
    <w:abstractNumId w:val="905382"/>
  </w:num>
  <w:num w:numId="23">
    <w:abstractNumId w:val="905383"/>
  </w:num>
  <w:num w:numId="24">
    <w:abstractNumId w:val="905384"/>
  </w:num>
  <w:num w:numId="25">
    <w:abstractNumId w:val="90538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gif" Type="http://schemas.openxmlformats.org/officeDocument/2006/relationships/image"/><Relationship Id="rId11" Target="media/image7.gif" Type="http://schemas.openxmlformats.org/officeDocument/2006/relationships/image"/><Relationship Id="rId12" Target="media/image8.gif" Type="http://schemas.openxmlformats.org/officeDocument/2006/relationships/image"/><Relationship Id="rId13" Target="media/image9.gif" Type="http://schemas.openxmlformats.org/officeDocument/2006/relationships/image"/><Relationship Id="rId14" Target="media/image10.gif" Type="http://schemas.openxmlformats.org/officeDocument/2006/relationships/image"/><Relationship Id="rId15" Target="media/image11.gif" Type="http://schemas.openxmlformats.org/officeDocument/2006/relationships/image"/><Relationship Id="rId16" Target="media/image12.gif" Type="http://schemas.openxmlformats.org/officeDocument/2006/relationships/image"/><Relationship Id="rId17" Target="media/image13.gif" Type="http://schemas.openxmlformats.org/officeDocument/2006/relationships/image"/><Relationship Id="rId18" Target="media/image14.gif" Type="http://schemas.openxmlformats.org/officeDocument/2006/relationships/image"/><Relationship Id="rId19" Target="media/image15.gif" Type="http://schemas.openxmlformats.org/officeDocument/2006/relationships/image"/><Relationship Id="rId2" Target="styles.xml" Type="http://schemas.openxmlformats.org/officeDocument/2006/relationships/styles"/><Relationship Id="rId20" Target="media/image16.gif" Type="http://schemas.openxmlformats.org/officeDocument/2006/relationships/image"/><Relationship Id="rId21" Target="media/image17.gif" Type="http://schemas.openxmlformats.org/officeDocument/2006/relationships/image"/><Relationship Id="rId22" Target="media/image18.gif" Type="http://schemas.openxmlformats.org/officeDocument/2006/relationships/image"/><Relationship Id="rId23" Target="media/image19.gif" Type="http://schemas.openxmlformats.org/officeDocument/2006/relationships/image"/><Relationship Id="rId24" Target="media/image20.gif" Type="http://schemas.openxmlformats.org/officeDocument/2006/relationships/image"/><Relationship Id="rId25" Target="media/image21.gif" Type="http://schemas.openxmlformats.org/officeDocument/2006/relationships/image"/><Relationship Id="rId26" Target="media/image22.gif" Type="http://schemas.openxmlformats.org/officeDocument/2006/relationships/image"/><Relationship Id="rId27" Target="media/image23.gif" Type="http://schemas.openxmlformats.org/officeDocument/2006/relationships/image"/><Relationship Id="rId28" Target="media/image24.gif" Type="http://schemas.openxmlformats.org/officeDocument/2006/relationships/image"/><Relationship Id="rId29" Target="media/image25.gif" Type="http://schemas.openxmlformats.org/officeDocument/2006/relationships/image"/><Relationship Id="rId3" Target="footer1.xml" Type="http://schemas.openxmlformats.org/officeDocument/2006/relationships/footer"/><Relationship Id="rId30" Target="embeddings/Microsoft_Excel_Worksheet1.xlsx" Type="http://schemas.openxmlformats.org/officeDocument/2006/relationships/package"/><Relationship Id="rId31" Target="media/image26.png" Type="http://schemas.openxmlformats.org/officeDocument/2006/relationships/image"/><Relationship Id="rId32" Target="embeddings/Microsoft_Excel_Worksheet2.xlsx" Type="http://schemas.openxmlformats.org/officeDocument/2006/relationships/package"/><Relationship Id="rId33" Target="media/image27.png" Type="http://schemas.openxmlformats.org/officeDocument/2006/relationships/image"/><Relationship Id="rId34" Target="embeddings/Microsoft_Excel_Worksheet3.xlsx" Type="http://schemas.openxmlformats.org/officeDocument/2006/relationships/package"/><Relationship Id="rId35" Target="media/image28.png" Type="http://schemas.openxmlformats.org/officeDocument/2006/relationships/image"/><Relationship Id="rId36" Target="header1.xml" Type="http://schemas.openxmlformats.org/officeDocument/2006/relationships/head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numbering.xml" Type="http://schemas.openxmlformats.org/officeDocument/2006/relationships/numbering"/><Relationship Id="rId9" Target="media/image5.gif"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2026-02-22T07:54:16Z</dcterms:created>
  <dc:creator>Apache POI</dc:creator>
</cp:coreProperties>
</file>