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eastAsia="宋体" w:ascii="Times New Roman" w:hAnsi="Times New Roman"/>
          <w:b/>
          <w:sz w:val="24"/>
        </w:rPr>
        <w:t>《大学生朋辈心理辅导》第五讲</w:t>
      </w:r>
    </w:p>
    <w:p>
      <w:pPr>
        <w:jc w:val="center"/>
      </w:pPr>
      <w:r>
        <w:rPr>
          <w:rFonts w:eastAsia="宋体" w:ascii="Times New Roman" w:hAnsi="Times New Roman"/>
          <w:b/>
          <w:sz w:val="28"/>
        </w:rPr>
        <w:t>大一新生情绪管理团辅方案</w:t>
      </w:r>
    </w:p>
    <w:p>
      <w:r>
        <w:rPr>
          <w:rFonts w:eastAsia="宋体" w:ascii="Times New Roman" w:hAnsi="Times New Roman"/>
          <w:b/>
          <w:sz w:val="24"/>
        </w:rPr>
        <w:t>一、基本情况</w:t>
      </w:r>
    </w:p>
    <w:p>
      <w:r>
        <w:rPr>
          <w:rFonts w:eastAsia="宋体" w:ascii="Times New Roman" w:hAnsi="Times New Roman"/>
          <w:b w:val="0"/>
          <w:sz w:val="24"/>
        </w:rPr>
        <w:t>时间：1.5小时，一次性团体</w:t>
      </w:r>
    </w:p>
    <w:p>
      <w:r>
        <w:rPr>
          <w:rFonts w:eastAsia="宋体" w:ascii="Times New Roman" w:hAnsi="Times New Roman"/>
          <w:b w:val="0"/>
          <w:sz w:val="24"/>
        </w:rPr>
        <w:t>人数：40人左右（分4—5组，每组8—10人）</w:t>
      </w:r>
    </w:p>
    <w:p>
      <w:r>
        <w:rPr>
          <w:rFonts w:eastAsia="宋体" w:ascii="Times New Roman" w:hAnsi="Times New Roman"/>
          <w:b w:val="0"/>
          <w:sz w:val="24"/>
        </w:rPr>
        <w:t>对象：大一新生</w:t>
      </w:r>
    </w:p>
    <w:p>
      <w:r>
        <w:rPr>
          <w:rFonts w:eastAsia="宋体" w:ascii="Times New Roman" w:hAnsi="Times New Roman"/>
          <w:b w:val="0"/>
          <w:sz w:val="24"/>
        </w:rPr>
        <w:t>带领者：经过培训的朋辈辅导员</w:t>
      </w:r>
    </w:p>
    <w:p>
      <w:r>
        <w:rPr>
          <w:rFonts w:eastAsia="宋体" w:ascii="Times New Roman" w:hAnsi="Times New Roman"/>
          <w:b w:val="0"/>
          <w:sz w:val="24"/>
        </w:rPr>
        <w:t>督导：心理健康教育中心教师</w:t>
      </w:r>
    </w:p>
    <w:p>
      <w:r>
        <w:rPr>
          <w:rFonts w:eastAsia="宋体" w:ascii="Times New Roman" w:hAnsi="Times New Roman"/>
          <w:b w:val="0"/>
          <w:sz w:val="24"/>
        </w:rPr>
        <w:t>场地：宽敞可移动桌椅的团体辅导室或教室</w:t>
      </w:r>
    </w:p>
    <w:p>
      <w:r>
        <w:rPr>
          <w:rFonts w:eastAsia="宋体" w:ascii="Times New Roman" w:hAnsi="Times New Roman"/>
          <w:b/>
          <w:sz w:val="24"/>
        </w:rPr>
        <w:t>二、团体理论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情绪是个体对客观事物是否符合自身需要而产生的态度体验，包含主观感受、生理反应、认知评价和行为倾向。情绪本身没有绝对的好坏，但情绪管理能力直接影响大一新生的适应水平。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大一新生面临环境变化、学业压力、人际重建、亲子分离等挑战，容易产生焦虑、孤独、失落、迷茫、委屈、愤怒等情绪。若缺乏觉察与调节能力，可能发展为持续的情绪困扰，影响学习与生活。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情绪ABC理论指出：激发事件A只是引发情绪和行为后果C的间接原因，直接原因是个体对事件A的认知和评价所产生的信念B。因此，调整不合理信念，可以改善情绪反应。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情绪调节过程模型将情绪调节分为：情境选择、情境修正、注意分配、认知改变、反应调整。朋辈团辅可以通过表达性艺术、小组分享、认知重构、行为练习等方式，帮助成员在安全氛围中觉察情绪、表达情绪、理解情绪背后的需要，并学习可操作的情绪调节策略。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朋辈辅导的定位是陪伴、倾听、支持与引导，不进行心理诊断与治疗。带领者需严守边界，发现严重情绪困扰或危机信号时，及时上报督导并转介。</w:t>
      </w:r>
    </w:p>
    <w:p>
      <w:r>
        <w:rPr>
          <w:rFonts w:eastAsia="宋体" w:ascii="Times New Roman" w:hAnsi="Times New Roman"/>
          <w:b/>
          <w:sz w:val="24"/>
        </w:rPr>
        <w:t>三、团体目标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1、帮助大一新生识别并命名自己在适应期的常见情绪。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2、引导成员理解情绪背后的需要，减少自我批判与羞耻感。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3、帮助成员掌握2—3种简单可用的情绪调节方法。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4、建立朋辈支持联结，了解校内求助渠道。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5、明确朋辈辅导边界，知道何时需要转介。</w:t>
      </w:r>
    </w:p>
    <w:p>
      <w:r>
        <w:rPr>
          <w:rFonts w:eastAsia="宋体" w:ascii="Times New Roman" w:hAnsi="Times New Roman"/>
          <w:b/>
          <w:sz w:val="24"/>
        </w:rPr>
        <w:t>四、团体活动方案</w:t>
      </w:r>
    </w:p>
    <w:p>
      <w:r>
        <w:rPr>
          <w:rFonts w:eastAsia="宋体" w:ascii="Times New Roman" w:hAnsi="Times New Roman"/>
          <w:b w:val="0"/>
          <w:sz w:val="24"/>
        </w:rPr>
        <w:t>根据情绪调节理论，从情绪觉察、情绪表达与情绪调节策略三个方面来开展情绪管理的团体。</w:t>
      </w:r>
    </w:p>
    <w:p/>
    <w:tbl>
      <w:tblPr>
        <w:tblW w:type="dxa" w:w="9497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ook w:firstColumn="1" w:firstRow="1" w:lastColumn="0" w:lastRow="0" w:noHBand="0" w:noVBand="1" w:val="04A0"/>
      </w:tblPr>
      <w:tblGrid>
        <w:gridCol w:w="526"/>
        <w:gridCol w:w="631"/>
        <w:gridCol w:w="1284"/>
        <w:gridCol w:w="1496"/>
        <w:gridCol w:w="4426"/>
        <w:gridCol w:w="1134"/>
      </w:tblGrid>
      <w:tr>
        <w:tc>
          <w:tcPr>
            <w:tcW w:type="dxa" w:w="526"/>
            <w:tcBorders>
              <w:top w:val="single" w:sz="6" w:space="0" w:color="000000"/>
            </w:tcBorders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No.</w:t>
            </w:r>
          </w:p>
        </w:tc>
        <w:tc>
          <w:tcPr>
            <w:tcW w:type="dxa" w:w="631"/>
            <w:tcBorders>
              <w:top w:val="single" w:sz="6" w:space="0" w:color="000000"/>
            </w:tcBorders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类型</w:t>
            </w:r>
          </w:p>
        </w:tc>
        <w:tc>
          <w:tcPr>
            <w:tcW w:type="dxa" w:w="1284"/>
            <w:tcBorders>
              <w:top w:val="single" w:sz="6" w:space="0" w:color="000000"/>
            </w:tcBorders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名称</w:t>
            </w:r>
          </w:p>
        </w:tc>
        <w:tc>
          <w:tcPr>
            <w:tcW w:type="dxa" w:w="1496"/>
            <w:tcBorders>
              <w:top w:val="single" w:sz="6" w:space="0" w:color="000000"/>
            </w:tcBorders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活动目标</w:t>
            </w:r>
          </w:p>
        </w:tc>
        <w:tc>
          <w:tcPr>
            <w:tcW w:type="dxa" w:w="4426"/>
            <w:tcBorders>
              <w:top w:val="single" w:sz="6" w:space="0" w:color="000000"/>
            </w:tcBorders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活动内容及时间</w:t>
            </w:r>
          </w:p>
        </w:tc>
        <w:tc>
          <w:tcPr>
            <w:tcW w:type="dxa" w:w="1134"/>
            <w:tcBorders>
              <w:top w:val="single" w:sz="6" w:space="0" w:color="000000"/>
            </w:tcBorders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/>
                <w:sz w:val="21"/>
              </w:rPr>
              <w:t>材料</w:t>
            </w:r>
          </w:p>
        </w:tc>
      </w:tr>
      <w:tr>
        <w:tc>
          <w:tcPr>
            <w:tcW w:type="dxa" w:w="52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一</w:t>
            </w:r>
          </w:p>
        </w:tc>
        <w:tc>
          <w:tcPr>
            <w:tcW w:type="dxa" w:w="631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热身活动</w:t>
            </w:r>
          </w:p>
        </w:tc>
        <w:tc>
          <w:tcPr>
            <w:tcW w:type="dxa" w:w="1284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开场与团体契约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（5分钟）</w:t>
            </w:r>
          </w:p>
        </w:tc>
        <w:tc>
          <w:tcPr>
            <w:tcW w:type="dxa" w:w="149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建立安全感，明确团体规则</w:t>
            </w:r>
          </w:p>
        </w:tc>
        <w:tc>
          <w:tcPr>
            <w:tcW w:type="dxa" w:w="442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1. 领导者自我介绍，说明本次团体目标（2分钟）。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2. 口头承诺团体契约：真诚、尊重、投入、保密（3分钟）。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无</w:t>
            </w:r>
          </w:p>
        </w:tc>
      </w:tr>
      <w:tr>
        <w:tc>
          <w:tcPr>
            <w:tcW w:type="dxa" w:w="52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二</w:t>
            </w:r>
          </w:p>
        </w:tc>
        <w:tc>
          <w:tcPr>
            <w:tcW w:type="dxa" w:w="631"/>
            <w:shd w:val="clear" w:color="auto" w:fill="FFFFFF"/>
            <w:vAlign w:val="center"/>
          </w:tcPr>
          <w:p/>
        </w:tc>
        <w:tc>
          <w:tcPr>
            <w:tcW w:type="dxa" w:w="1284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情绪光谱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（5分钟）</w:t>
            </w:r>
          </w:p>
        </w:tc>
        <w:tc>
          <w:tcPr>
            <w:tcW w:type="dxa" w:w="149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活跃氛围，觉察自身情绪状态，感受共鸣</w:t>
            </w:r>
          </w:p>
        </w:tc>
        <w:tc>
          <w:tcPr>
            <w:tcW w:type="dxa" w:w="442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1. 地面画一条线，一端为"情绪很好"，另一端为"情绪很糟"（1分钟）。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2. 成员根据近一周情绪状态站在相应位置（2分钟）。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3. 领导者询问不同位置成员的感受，如"情绪低落的人""情绪平稳的人""情绪波动大的人"（2分钟）。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4. 重在分享，无所谓对错。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无</w:t>
            </w:r>
          </w:p>
        </w:tc>
      </w:tr>
      <w:tr>
        <w:tc>
          <w:tcPr>
            <w:tcW w:type="dxa" w:w="52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三</w:t>
            </w:r>
          </w:p>
        </w:tc>
        <w:tc>
          <w:tcPr>
            <w:tcW w:type="dxa" w:w="631"/>
            <w:vMerge w:val="restart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主题活动</w:t>
            </w:r>
          </w:p>
        </w:tc>
        <w:tc>
          <w:tcPr>
            <w:tcW w:type="dxa" w:w="1284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情绪的创造性表达——情绪黏土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（40分钟）</w:t>
            </w:r>
          </w:p>
        </w:tc>
        <w:tc>
          <w:tcPr>
            <w:tcW w:type="dxa" w:w="149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外化情绪，了解情绪反应与内在需要</w:t>
            </w:r>
          </w:p>
        </w:tc>
        <w:tc>
          <w:tcPr>
            <w:tcW w:type="dxa" w:w="442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1. 小组围坐，中间可放入合适数量的课桌。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2. 每人用黏土制作"我在适应情绪下的状态"（3分钟）。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3. 制作完成后，进行每人1分钟的小组分享：这个作品是什么？它什么时候出现？它想告诉我什么？（12分钟）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4. 尝试再做一个黏土，代表"帮助我应对情绪的方法或资源"（10分钟）。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5. 创作完成后，向小组成员介绍你的应对方法，其他成员可以补充（10分钟）。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6. 大组分享：在刚刚的过程中，有什么收获和发现？（5分钟）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黏土（每组一盒）</w:t>
            </w:r>
          </w:p>
        </w:tc>
      </w:tr>
      <w:tr>
        <w:tc>
          <w:tcPr>
            <w:tcW w:type="dxa" w:w="52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四</w:t>
            </w:r>
          </w:p>
        </w:tc>
        <w:tc>
          <w:tcPr>
            <w:tcW w:type="dxa" w:w="631"/>
            <w:vMerge/>
            <w:vAlign w:val="center"/>
            <w:shd w:val="clear" w:color="auto" w:fill="FFFFFF"/>
          </w:tcPr>
          <w:p/>
        </w:tc>
        <w:tc>
          <w:tcPr>
            <w:tcW w:type="dxa" w:w="1284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情绪调节锦囊——情绪急救包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（30分钟）</w:t>
            </w:r>
          </w:p>
        </w:tc>
        <w:tc>
          <w:tcPr>
            <w:tcW w:type="dxa" w:w="149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拓宽情绪调节策略，掌握具体做法</w:t>
            </w:r>
          </w:p>
        </w:tc>
        <w:tc>
          <w:tcPr>
            <w:tcW w:type="dxa" w:w="442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1. 浏览"情绪调节26式"表格，成员选择2种自己用过且有效的策略，找到对应彩卡（5分钟）。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2. 小组内分享：每人结合生活事件，分享一个自己最擅长的情绪调节方式的具体做法，每人2分钟（15分钟）。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3. 每组派一名代表分享印象最深刻的部分或觉得最有用的方式，每组1.5分钟（5分钟）。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情绪调节26式表格（每人一份）、情绪应对彩卡（每组一套）、笔</w:t>
            </w:r>
          </w:p>
        </w:tc>
      </w:tr>
      <w:tr>
        <w:tc>
          <w:tcPr>
            <w:tcW w:type="dxa" w:w="52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五</w:t>
            </w:r>
          </w:p>
        </w:tc>
        <w:tc>
          <w:tcPr>
            <w:tcW w:type="dxa" w:w="631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结束活动</w:t>
            </w:r>
          </w:p>
        </w:tc>
        <w:tc>
          <w:tcPr>
            <w:tcW w:type="dxa" w:w="1284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行动与祝福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（10分钟）</w:t>
            </w:r>
          </w:p>
        </w:tc>
        <w:tc>
          <w:tcPr>
            <w:tcW w:type="dxa" w:w="149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引导课后实践，总结团体，建立支持</w:t>
            </w:r>
          </w:p>
        </w:tc>
        <w:tc>
          <w:tcPr>
            <w:tcW w:type="dxa" w:w="4426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1. 在剩下的情绪应对彩卡中，每位成员挑选1张"接下来想试试的情绪调节方式"，并花1分钟讲述具体做法（5分钟）。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2. 成员互赠能量卡，写一句祝福或看见（3分钟）。</w:t>
            </w:r>
          </w:p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3. 带走自己的黏土作品和彩卡。提醒转介渠道：若情绪持续低落、焦虑、失眠超过两周，或出现自伤、极端想法，请及时联系辅导员或心理中心（2分钟）。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line="240" w:lineRule="auto" w:after="40"/>
              <w:jc w:val="left"/>
            </w:pPr>
            <w:r>
              <w:rPr>
                <w:rFonts w:eastAsia="宋体" w:ascii="Times New Roman" w:hAnsi="Times New Roman"/>
                <w:b w:val="0"/>
                <w:sz w:val="21"/>
              </w:rPr>
              <w:t>情绪应对彩卡、能量卡</w:t>
            </w:r>
          </w:p>
        </w:tc>
      </w:tr>
    </w:tbl>
    <w:p/>
    <w:p>
      <w:r>
        <w:rPr>
          <w:rFonts w:eastAsia="宋体" w:ascii="Times New Roman" w:hAnsi="Times New Roman"/>
          <w:b/>
          <w:sz w:val="22"/>
        </w:rPr>
        <w:t>说明：团体有阶段但又是灵活的，领导者可以根据现场情况调配活动时间，也可用备用活动替换。注意每个阶段都需要有活动，同时要把大多数时间花在主体活动上。若发现成员有严重情绪困扰或危机信号，应在活动后及时上报督导教师并启动转介流程。</w:t>
      </w:r>
    </w:p>
    <w:p/>
    <w:p>
      <w:r>
        <w:rPr>
          <w:rFonts w:eastAsia="宋体" w:ascii="Times New Roman" w:hAnsi="Times New Roman"/>
          <w:b/>
          <w:sz w:val="24"/>
        </w:rPr>
        <w:t>五、附：情绪调节26式（示例）</w:t>
      </w:r>
    </w:p>
    <w:p>
      <w:r>
        <w:rPr>
          <w:rFonts w:eastAsia="宋体" w:ascii="Times New Roman" w:hAnsi="Times New Roman"/>
          <w:b w:val="0"/>
          <w:sz w:val="24"/>
        </w:rPr>
        <w:t>可制作成表格或彩卡，供成员选择：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1. 深呼吸放松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2. 听喜欢的音乐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3. 运动出汗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4. 写情绪日记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5. 找朋友倾诉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6. 画画或做手工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7. 正念冥想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8. 散步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9. 洗热水澡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10. 看一部电影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11. 吃一顿美食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12. 整理房间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13. 给自己写一封信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14. 回忆成功经历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15. 做一件小事帮助他人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16. 允许自己哭一场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17. 暂时离开现场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18. 数呼吸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19. 想象安全的地方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20. 和宠物玩耍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21. 跳舞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22. 朗读诗歌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23. 晒太阳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24. 减少社交媒体使用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25. 设定小目标并完成</w:t>
      </w:r>
    </w:p>
    <w:p>
      <w:pPr>
        <w:spacing w:line="240" w:lineRule="auto"/>
        <w:ind w:firstLine="480"/>
      </w:pPr>
      <w:r>
        <w:rPr>
          <w:rFonts w:eastAsia="宋体" w:ascii="Times New Roman" w:hAnsi="Times New Roman"/>
          <w:b w:val="0"/>
          <w:sz w:val="24"/>
        </w:rPr>
        <w:t>26. 向心理中心或朋辈辅导员求助</w:t>
      </w:r>
    </w:p>
    <w:sectPr>
      <w:footerReference r:id="rId3" w:type="default"/>
      <w:pgSz w:w="11906" w:h="16838"/>
      <w:pgMar w:top="1134" w:right="1134" w:bottom="1134" w:left="1134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eastAsia="宋体" w:ascii="Times New Roman" w:hAnsi="Times New Roman"/>
        <w:b w:val="0"/>
        <w:sz w:val="18"/>
      </w:rPr>
      <w:t>浙江大学心理健康教育与咨询中心  《大学生朋辈心理辅导》师资组  编制，2024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427C89"/>
    <w:multiLevelType w:val="singleLevel"/>
    <w:tmpl w:val="36427C8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38A3D9CB"/>
    <w:multiLevelType w:val="singleLevel"/>
    <w:tmpl w:val="38A3D9C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BC63399"/>
    <w:multiLevelType w:val="singleLevel"/>
    <w:tmpl w:val="3BC633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3246A9C"/>
    <w:multiLevelType w:val="multilevel"/>
    <w:tmpl w:val="73246A9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I1Y2FhMWMzMGJjMjYyNjViYTE0ZGEyZGU0ZjYwNTgifQ=="/>
  </w:docVars>
  <w:rsids>
    <w:rsidRoot w:val="00061F95"/>
    <w:rsid w:val="0005521A"/>
    <w:rsid w:val="00056FFC"/>
    <w:rsid w:val="00061F95"/>
    <w:rsid w:val="001234AE"/>
    <w:rsid w:val="00140B2E"/>
    <w:rsid w:val="00145B81"/>
    <w:rsid w:val="0016062F"/>
    <w:rsid w:val="001D64C7"/>
    <w:rsid w:val="001D74C2"/>
    <w:rsid w:val="00252C74"/>
    <w:rsid w:val="002B0CCD"/>
    <w:rsid w:val="002C33FF"/>
    <w:rsid w:val="002C7122"/>
    <w:rsid w:val="002D628B"/>
    <w:rsid w:val="0039296E"/>
    <w:rsid w:val="004155D8"/>
    <w:rsid w:val="00453C82"/>
    <w:rsid w:val="0053235B"/>
    <w:rsid w:val="00605BC7"/>
    <w:rsid w:val="00616084"/>
    <w:rsid w:val="00623276"/>
    <w:rsid w:val="00632902"/>
    <w:rsid w:val="00656F57"/>
    <w:rsid w:val="006732CF"/>
    <w:rsid w:val="00754B39"/>
    <w:rsid w:val="00755148"/>
    <w:rsid w:val="007911CB"/>
    <w:rsid w:val="007F1FAD"/>
    <w:rsid w:val="0081790F"/>
    <w:rsid w:val="00863E44"/>
    <w:rsid w:val="00892032"/>
    <w:rsid w:val="00904CBD"/>
    <w:rsid w:val="00921D13"/>
    <w:rsid w:val="009356DB"/>
    <w:rsid w:val="0098532C"/>
    <w:rsid w:val="00A9786A"/>
    <w:rsid w:val="00AD4FCA"/>
    <w:rsid w:val="00B00824"/>
    <w:rsid w:val="00B41081"/>
    <w:rsid w:val="00B47164"/>
    <w:rsid w:val="00B53AF4"/>
    <w:rsid w:val="00B66E5F"/>
    <w:rsid w:val="00B67E46"/>
    <w:rsid w:val="00B729AA"/>
    <w:rsid w:val="00BA4CB2"/>
    <w:rsid w:val="00C027F1"/>
    <w:rsid w:val="00C86196"/>
    <w:rsid w:val="00C96847"/>
    <w:rsid w:val="00CC6EBF"/>
    <w:rsid w:val="00CD3967"/>
    <w:rsid w:val="00D11099"/>
    <w:rsid w:val="00D45C99"/>
    <w:rsid w:val="00D52202"/>
    <w:rsid w:val="00D62B2B"/>
    <w:rsid w:val="00D76042"/>
    <w:rsid w:val="00D82597"/>
    <w:rsid w:val="00D9728E"/>
    <w:rsid w:val="00DB08BD"/>
    <w:rsid w:val="00DF02CC"/>
    <w:rsid w:val="00DF5BB8"/>
    <w:rsid w:val="00E037A5"/>
    <w:rsid w:val="00E06E98"/>
    <w:rsid w:val="00E12052"/>
    <w:rsid w:val="00E17F7D"/>
    <w:rsid w:val="00E2256B"/>
    <w:rsid w:val="00E30432"/>
    <w:rsid w:val="00E502F3"/>
    <w:rsid w:val="00E97B78"/>
    <w:rsid w:val="00EA19FF"/>
    <w:rsid w:val="00F25E2F"/>
    <w:rsid w:val="00F73EFA"/>
    <w:rsid w:val="00FC4094"/>
    <w:rsid w:val="01E20A0D"/>
    <w:rsid w:val="02973818"/>
    <w:rsid w:val="033D2E95"/>
    <w:rsid w:val="05F01F9F"/>
    <w:rsid w:val="060B0DF9"/>
    <w:rsid w:val="06BB2143"/>
    <w:rsid w:val="07C41459"/>
    <w:rsid w:val="091E1C4B"/>
    <w:rsid w:val="09DA6C4B"/>
    <w:rsid w:val="09E85450"/>
    <w:rsid w:val="0A437D00"/>
    <w:rsid w:val="0C296A9B"/>
    <w:rsid w:val="0D92163A"/>
    <w:rsid w:val="0D96314D"/>
    <w:rsid w:val="0DB00467"/>
    <w:rsid w:val="170244AA"/>
    <w:rsid w:val="180556E8"/>
    <w:rsid w:val="1986216D"/>
    <w:rsid w:val="1F4C5908"/>
    <w:rsid w:val="1FF92B1F"/>
    <w:rsid w:val="218E68BA"/>
    <w:rsid w:val="240D4713"/>
    <w:rsid w:val="256A08C8"/>
    <w:rsid w:val="2A5C5488"/>
    <w:rsid w:val="2DA8440B"/>
    <w:rsid w:val="2F1B0832"/>
    <w:rsid w:val="32E32315"/>
    <w:rsid w:val="342E4BF6"/>
    <w:rsid w:val="35243AC0"/>
    <w:rsid w:val="35BA6D66"/>
    <w:rsid w:val="363A7E6C"/>
    <w:rsid w:val="379C3205"/>
    <w:rsid w:val="3AC662AB"/>
    <w:rsid w:val="3FFC576B"/>
    <w:rsid w:val="408F3465"/>
    <w:rsid w:val="41357A84"/>
    <w:rsid w:val="414B75E9"/>
    <w:rsid w:val="417B5C1E"/>
    <w:rsid w:val="4427443E"/>
    <w:rsid w:val="445275C4"/>
    <w:rsid w:val="44A02486"/>
    <w:rsid w:val="45BD65F0"/>
    <w:rsid w:val="476D3733"/>
    <w:rsid w:val="48776171"/>
    <w:rsid w:val="49BD37DC"/>
    <w:rsid w:val="4C96649F"/>
    <w:rsid w:val="4F452566"/>
    <w:rsid w:val="539127D8"/>
    <w:rsid w:val="54FF0DFE"/>
    <w:rsid w:val="573A5460"/>
    <w:rsid w:val="57E42B75"/>
    <w:rsid w:val="58BC7FB5"/>
    <w:rsid w:val="5A8F6108"/>
    <w:rsid w:val="5B734A7D"/>
    <w:rsid w:val="5D9319EB"/>
    <w:rsid w:val="5E187657"/>
    <w:rsid w:val="60C61658"/>
    <w:rsid w:val="61B556D7"/>
    <w:rsid w:val="62BC68F6"/>
    <w:rsid w:val="63314FF7"/>
    <w:rsid w:val="653C7D75"/>
    <w:rsid w:val="66C4342B"/>
    <w:rsid w:val="68CD1043"/>
    <w:rsid w:val="6D323DB2"/>
    <w:rsid w:val="6EB1458A"/>
    <w:rsid w:val="6FB75654"/>
    <w:rsid w:val="72B03CE0"/>
    <w:rsid w:val="74737794"/>
    <w:rsid w:val="76661DB9"/>
    <w:rsid w:val="79474BF3"/>
    <w:rsid w:val="7AF4420D"/>
    <w:rsid w:val="7D8D2C56"/>
    <w:rsid w:val="7E29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uiPriority w:val="1"/>
    <w:semiHidden/>
    <w:unhideWhenUsed/>
  </w:style>
  <w:style w:type="table" w:default="1" w:styleId="7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uiPriority w:val="0"/>
    <w:unhideWhenUsed/>
    <w:qFormat/>
    <w:pPr>
      <w:jc w:val="left"/>
    </w:pPr>
    <w:rPr>
      <w:rFonts w:ascii="Calibri" w:hAnsi="Calibri" w:eastAsia="宋体" w:cs="Times New Roman"/>
    </w:rPr>
  </w:style>
  <w:style w:type="paragraph" w:styleId="3">
    <w:name w:val="Balloon Text"/>
    <w:basedOn w:val="1"/>
    <w:link w:val="13"/>
    <w:uiPriority w:val="99"/>
    <w:semiHidden/>
    <w:unhideWhenUsed/>
    <w:qFormat/>
    <w:rPr>
      <w:sz w:val="18"/>
      <w:szCs w:val="18"/>
    </w:rPr>
  </w:style>
  <w:style w:type="paragraph" w:styleId="4">
    <w:name w:val="footer"/>
    <w:basedOn w:val="1"/>
    <w:link w:val="1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iPriority w:val="99"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uiPriority w:val="59"/>
    <w:qFormat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uiPriority w:val="99"/>
    <w:semiHidden/>
    <w:unhideWhenUsed/>
    <w:qFormat/>
    <w:rPr>
      <w:sz w:val="21"/>
      <w:szCs w:val="21"/>
    </w:rPr>
  </w:style>
  <w:style w:type="paragraph" w:styleId="11">
    <w:name w:val="List Paragraph"/>
    <w:basedOn w:val="1"/>
    <w:uiPriority w:val="34"/>
    <w:qFormat/>
    <w:pPr>
      <w:ind w:left="720"/>
    </w:pPr>
    <w:rPr>
      <w:rFonts w:ascii="Calibri" w:hAnsi="Calibri" w:eastAsia="宋体" w:cs="Times New Roman"/>
    </w:rPr>
  </w:style>
  <w:style w:type="character" w:customStyle="1" w:styleId="12">
    <w:name w:val="批注文字 字符"/>
    <w:basedOn w:val="9"/>
    <w:link w:val="2"/>
    <w:uiPriority w:val="99"/>
    <w:semiHidden/>
    <w:qFormat/>
    <w:rPr>
      <w:rFonts w:ascii="Calibri" w:hAnsi="Calibri" w:eastAsia="宋体" w:cs="Times New Roman"/>
    </w:rPr>
  </w:style>
  <w:style w:type="character" w:customStyle="1" w:styleId="13">
    <w:name w:val="批注框文本 字符"/>
    <w:basedOn w:val="9"/>
    <w:link w:val="3"/>
    <w:uiPriority w:val="99"/>
    <w:semiHidden/>
    <w:qFormat/>
    <w:rPr>
      <w:sz w:val="18"/>
      <w:szCs w:val="18"/>
    </w:rPr>
  </w:style>
  <w:style w:type="character" w:customStyle="1" w:styleId="14">
    <w:name w:val="页眉 字符"/>
    <w:basedOn w:val="9"/>
    <w:link w:val="5"/>
    <w:uiPriority w:val="99"/>
    <w:qFormat/>
    <w:rPr>
      <w:sz w:val="18"/>
      <w:szCs w:val="18"/>
    </w:rPr>
  </w:style>
  <w:style w:type="character" w:customStyle="1" w:styleId="15">
    <w:name w:val="页脚 字符"/>
    <w:basedOn w:val="9"/>
    <w:link w:val="4"/>
    <w:uiPriority w:val="99"/>
    <w:qFormat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1693</Words>
  <Characters>1719</Characters>
  <Lines>12</Lines>
  <Paragraphs>3</Paragraphs>
  <TotalTime>65</TotalTime>
  <ScaleCrop>false</ScaleCrop>
  <LinksUpToDate>false</LinksUpToDate>
  <CharactersWithSpaces>1725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2018-12-04T03:39:00Z</dcterms:created>
  <dc:creator>Dell</dc:creator>
  <cp:lastModifiedBy>xmn</cp:lastModifiedBy>
  <cp:lastPrinted>2022-11-03T05:46:00Z</cp:lastPrinted>
  <dcterms:modified xsi:type="dcterms:W3CDTF">2026-10-12T03:01:08Z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07C75741A1EF4E2E844A9E42F4A18053</vt:lpwstr>
  </property>
  <property fmtid="{D5CDD505-2E9C-101B-9397-08002B2CF9AE}" pid="4" name="commondata">
    <vt:lpwstr>eyJoZGlkIjoiYjI1Y2FhMWMzMGJjMjYyNjViYTE0ZGEyZGU0ZjYwNTgifQ==</vt:lpwstr>
  </property>
  <property fmtid="{D5CDD505-2E9C-101B-9397-08002B2CF9AE}" pid="5" name="KSOTemplateDocerSaveRecord">
    <vt:lpwstr>eyJoZGlkIjoiYzUzMDQ5NDc4YzJiMWRkMWQwMzYzNTU3MzRkNjhmZmIiLCJ1c2VySWQiOiIxNzU2MTM4ODQ2In0=</vt:lpwstr>
  </property>
  <property fmtid="{D5CDD505-2E9C-101B-9397-08002B2CF9AE}" pid="6" name="AIGC">
    <vt:lpwstr>{"Label":"1","ContentProducer":"001191440300708461136T1WFUO","ProduceID":"be42ab5614ec472bea58fc6aee6b3953-yryU","ReservedCode1":"{\"Type\":\" TC260PG\",\"Version\":1,\"Bindings\":[{\"Type\":\"soft\",\"AlgID\":\"sm3\",\"Value\":\"9f528f9e717a1f1e39820ac623df4299a018541bd822d99032c2d4db257e9bac\"},{\"Type\":\"hash\",\"AlgID\":\"sm3\",\"Value\":\"8111236293aedc72bfd3616d4c310ec9dd8829d1d70694a0d2208f34ab6e09d7\"}],\"PubSD\":[{\"Type\":\"DS\",\"AlgID\":\"sm2\",\"TBSData\":{\"Type\":\"Binding\",\"BType\":\"hash\"},\"Signature\":\"3045022100ab0cf37ff9017d5003e375bba49f479605c2cf1d8d494325490de1376686e0b602200ac87e48837fef48f8e8c18a4e625ec5bfc564204d34f5f4e6085389e7e9a4e2\"},{\"Type\":\"PubKey\",\"AlgID\":\"sm2\",\"KeyValue\":\"0407f79b28a17a752b3aae4305c98b48978213832729a2571850b1310b2bc9fe8fee039ccf25ebfeac27502414d9fcef792d777183c98893d226171c2f7a3289a2\"}],\"Extension\":{\"Timestamp\":1791787469,\"KeyVersion\":\"v1-TxLeOmf7bqU223\"}}","ContentPropagator":"001191440300708461136T1WFUO","PropagateID":"be42ab5614ec472bea58fc6aee6b3953-yryU","ReservedCode2":"{\"Type\":\" TC260PG\",\"Version\":1,\"Bindings\":[{\"Type\":\"soft\",\"AlgID\":\"sm3\",\"Value\":\"9f528f9e717a1f1e39820ac623df4299a018541bd822d99032c2d4db257e9bac\"},{\"Type\":\"hash\",\"AlgID\":\"sm3\",\"Value\":\"8111236293aedc72bfd3616d4c310ec9dd8829d1d70694a0d2208f34ab6e09d7\"}],\"PubSD\":[{\"Type\":\"DS\",\"AlgID\":\"sm2\",\"TBSData\":{\"Type\":\"Binding\",\"BType\":\"hash\"},\"Signature\":\"304502207ea7d7bfe940b49ed0813b1a0332968911aee625d430faf741170e4537e71639022100e0b25ed42948148732214734eee459b4c4a667c6db8755fe768f63f78bb8ac25\"},{\"Type\":\"PubKey\",\"AlgID\":\"sm2\",\"KeyValue\":\"0407f79b28a17a752b3aae4305c98b48978213832729a2571850b1310b2bc9fe8fee039ccf25ebfeac27502414d9fcef792d777183c98893d226171c2f7a3289a2\"}],\"Extension\":{\"Timestamp\":1791787469,\"KeyVersion\":\"v1-TxLeOmf7bqU223\"}}"}</vt:lpwstr>
  </property>
</Properties>
</file>