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工程详情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工程唯一标识ID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视频文件（云文件存储链接）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事故基本信息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事故时间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事故地点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车辆号牌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车辆品牌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车辆识别代码VIN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委托受理情况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鉴定地点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鉴定材料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鉴定过程信息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鉴定人名称、执业照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参照物数据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重建模式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参照物描述（起点）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参照物描述</w:t>
      </w:r>
      <w:bookmarkStart w:id="0" w:name="_GoBack"/>
      <w:bookmarkEnd w:id="0"/>
      <w:r>
        <w:rPr>
          <w:rFonts w:hint="eastAsia"/>
          <w:lang w:val="en-US" w:eastAsia="zh-CN"/>
        </w:rPr>
        <w:t>（终点）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参照物长度、参照物坐标信息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提取帧信息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标定点P0、P1、P2、P3、P4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时间戳PTS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当前帧速度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当前帧水印时间信息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解算结果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速度最小值（视频帧时间戳PTS）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速度最大值（视频帧时间戳PTS）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速度最小值（视频平均帧率FPS）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速度最大值（视频平均帧率FPS）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速度最小值（视频水印时间）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速度最大值（视频水印时间）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视频文件使用云文件存储服务，其他数据选用mysql数据库。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视频文件暂限制上传存储大小，后续考虑截短的方式减小视频大小。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数据存储架构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0" cy="527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1、账号管理系统，具备账号的注册、登录、注销、账号授权等功能，目前用手机号作为账号，用于绑定工程项目，方便工程信息的访问检索。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数据管理系统，VTMR将工程信息上传到数据管理系统，数据管理系统将数据持久化存储到MySql数据库。VTMR可以通过数据管理系统访问自己账号上传的工程信息。内部授权的高级账号可以访问指定账号的工程信息，用于下载和审核指定账号工程解算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3、文件存储服务器用于VTMR上传和下载视频文件。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5OWVkNDVhNThmYmUyYTg4MTljMzA4ZDkzNDQ1OTUifQ=="/>
  </w:docVars>
  <w:rsids>
    <w:rsidRoot w:val="00172A27"/>
    <w:rsid w:val="10205277"/>
    <w:rsid w:val="1CC01E66"/>
    <w:rsid w:val="2DB063CA"/>
    <w:rsid w:val="44646F24"/>
    <w:rsid w:val="55AE6AA5"/>
    <w:rsid w:val="6B91267A"/>
    <w:rsid w:val="79F2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530</Words>
  <Characters>565</Characters>
  <Lines>0</Lines>
  <Paragraphs>0</Paragraphs>
  <TotalTime>69</TotalTime>
  <ScaleCrop>false</ScaleCrop>
  <LinksUpToDate>false</LinksUpToDate>
  <CharactersWithSpaces>565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2022-09-04T04:49:00Z</dcterms:created>
  <dc:creator>mengduo</dc:creator>
  <cp:lastModifiedBy>LetMe</cp:lastModifiedBy>
  <dcterms:modified xsi:type="dcterms:W3CDTF">2022-09-04T13:10:04Z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2DBB47B5E4B5441CB16C0380D972D5B9</vt:lpwstr>
  </property>
</Properties>
</file>