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line="240" w:lineRule="auto" w:before="0" w:after="0"/>
        <w:ind w:left="0"/>
        <w:jc w:val="center"/>
      </w:pPr>
      <w:r>
        <w:rPr>
          <w:rFonts w:eastAsia="宋体" w:ascii="宋体" w:hAnsi="宋体" w:cs="宋体"/>
          <w:b w:val="true"/>
          <w:i w:val="false"/>
          <w:sz w:val="48"/>
        </w:rPr>
        <w:t>华力创通首次覆盖报告</w:t>
      </w:r>
    </w:p>
    <w:p>
      <w:pPr>
        <w:pStyle w:val="EM_H1_STYLE"/>
        <w:spacing w:line="240" w:lineRule="auto" w:before="600" w:after="120"/>
        <w:ind w:left="0"/>
        <w:jc w:val="left"/>
      </w:pPr>
      <w:r>
        <w:rPr>
          <w:rFonts w:eastAsia="宋体" w:ascii="宋体" w:hAnsi="宋体" w:cs="宋体"/>
          <w:b w:val="true"/>
          <w:i w:val="false"/>
          <w:sz w:val="36"/>
        </w:rPr>
        <w:t>1. 公司概况</w:t>
      </w:r>
    </w:p>
    <w:p>
      <w:pPr>
        <w:pStyle w:val="EM_H2_STYLE"/>
        <w:spacing w:line="240" w:lineRule="auto" w:before="120" w:after="120"/>
        <w:ind w:left="0"/>
        <w:jc w:val="left"/>
      </w:pPr>
      <w:r>
        <w:rPr>
          <w:rFonts w:eastAsia="宋体" w:ascii="宋体" w:hAnsi="宋体" w:cs="宋体"/>
          <w:b w:val="true"/>
          <w:i w:val="false"/>
          <w:sz w:val="28"/>
        </w:rPr>
        <w:t>1.1 公司简介</w:t>
      </w:r>
    </w:p>
    <w:p>
      <w:pPr>
        <w:spacing w:line="240" w:lineRule="auto" w:before="120" w:after="120"/>
        <w:ind w:firstLine="0"/>
        <w:jc w:val="left"/>
      </w:pPr>
      <w:r>
        <w:rPr>
          <w:rFonts w:eastAsia="宋体" w:ascii="Times New Roman" w:hAnsi="Times New Roman" w:cs="Times New Roman"/>
          <w:b w:val="false"/>
          <w:i w:val="false"/>
          <w:sz w:val="22"/>
        </w:rPr>
        <w:t>华力创通（股票代码：300045）成立于2001年6月1日，总部位于北京市海淀区东北旺西路8号院乙18号楼，是一家专注于国防军工和行业信息化领域的高新技术企业</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。公司于2010年1月20日在深圳证券交易所创业板成功上市，成为国内资本市场的重要参与者</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rPr>
        <w:t>。深耕行业二十余载，华力创通已在卫星导航、卫星通信、雷达信号处理、仿真测试及无人系统四大核心领域构建起完整的产业链体系，涵盖“芯片-模组-终端-解决方案-管理平台-检测仪器”的全链条技术布局</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。作为国内少数同时掌握“卫星通信+卫星导航”关键核心技术的企业，公司持有国防军工准入资质及多项质量管理体系认证，奠定了其在国家安全和航天领域的战略地位</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通过自主研发，华力创通形成了半实物仿真系统、天通基带芯片等核心技术产品，广泛应用于航空航天、卫星通信等高精尖领域</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。2023年，公司推出智能型天通卫星电话并实现自研基带芯片的产业化应用，标志着技术成果向市场转化的重大突破</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。在业务拓展方面，公司于2013年加入国家汽车移动物联网联合建设中心，积极推动北斗导航民用化及车联网业务发展，覆盖车路协同等新兴场景</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。累计获得国家技术发明二等奖等行业荣誉，并拥有357项专利和491项软件著作权，彰显其持续的创新能力</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公司参与国家重大工程建设，包括北斗导航和天通通信项目，体现了对国家战略的深度支撑</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。截至2025年末，员工总数达696人，通过精简研发团队（如研发人员从415人优化至406人），提升了人均产出效率</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。下表总结了公司关键资质与成果：</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指标</w:t>
            </w:r>
          </w:p>
        </w:tc>
        <w:tc>
          <w:tcPr>
            <w:tcW w:type="dxa" w:w="4080"/>
            <w:vAlign w:val="center"/>
          </w:tcPr>
          <w:p>
            <w:r>
              <w:rPr>
                <w:rFonts w:eastAsia="宋体" w:ascii="Times New Roman" w:hAnsi="Times New Roman" w:cs="Times New Roman"/>
                <w:b w:val="false"/>
                <w:i w:val="false"/>
                <w:sz w:val="22"/>
              </w:rPr>
              <w:t>数值</w:t>
            </w:r>
          </w:p>
        </w:tc>
        <w:tc>
          <w:tcPr>
            <w:tcW w:type="dxa" w:w="4080"/>
            <w:vAlign w:val="center"/>
          </w:tcPr>
          <w:p>
            <w:r>
              <w:rPr>
                <w:rFonts w:eastAsia="宋体" w:ascii="Times New Roman" w:hAnsi="Times New Roman" w:cs="Times New Roman"/>
                <w:b w:val="false"/>
                <w:i w:val="false"/>
                <w:sz w:val="22"/>
              </w:rPr>
              <w:t>说明</w:t>
            </w:r>
          </w:p>
        </w:tc>
      </w:tr>
      <w:tr>
        <w:tc>
          <w:tcPr>
            <w:tcW w:type="dxa" w:w="4080"/>
            <w:vAlign w:val="center"/>
          </w:tcPr>
          <w:p>
            <w:r>
              <w:rPr>
                <w:rFonts w:eastAsia="宋体" w:ascii="Times New Roman" w:hAnsi="Times New Roman" w:cs="Times New Roman"/>
                <w:b w:val="false"/>
                <w:i w:val="false"/>
                <w:sz w:val="22"/>
              </w:rPr>
              <w:t>专利数量</w:t>
            </w:r>
          </w:p>
        </w:tc>
        <w:tc>
          <w:tcPr>
            <w:tcW w:type="dxa" w:w="4080"/>
            <w:vAlign w:val="center"/>
          </w:tcPr>
          <w:p>
            <w:r>
              <w:rPr>
                <w:rFonts w:eastAsia="宋体" w:ascii="Times New Roman" w:hAnsi="Times New Roman" w:cs="Times New Roman"/>
                <w:b w:val="false"/>
                <w:i w:val="false"/>
                <w:sz w:val="22"/>
              </w:rPr>
              <w:t>357项</w:t>
            </w:r>
          </w:p>
        </w:tc>
        <w:tc>
          <w:tcPr>
            <w:tcW w:type="dxa" w:w="4080"/>
            <w:vAlign w:val="center"/>
          </w:tcPr>
          <w:p>
            <w:r>
              <w:rPr>
                <w:rFonts w:eastAsia="宋体" w:ascii="Times New Roman" w:hAnsi="Times New Roman" w:cs="Times New Roman"/>
                <w:b w:val="false"/>
                <w:i w:val="false"/>
                <w:sz w:val="22"/>
              </w:rPr>
              <w:t>覆盖核心技术领域</w:t>
            </w:r>
          </w:p>
        </w:tc>
      </w:tr>
      <w:tr>
        <w:tc>
          <w:tcPr>
            <w:tcW w:type="dxa" w:w="4080"/>
            <w:vAlign w:val="center"/>
          </w:tcPr>
          <w:p>
            <w:r>
              <w:rPr>
                <w:rFonts w:eastAsia="宋体" w:ascii="Times New Roman" w:hAnsi="Times New Roman" w:cs="Times New Roman"/>
                <w:b w:val="false"/>
                <w:i w:val="false"/>
                <w:sz w:val="22"/>
              </w:rPr>
              <w:t>软件著作权</w:t>
            </w:r>
          </w:p>
        </w:tc>
        <w:tc>
          <w:tcPr>
            <w:tcW w:type="dxa" w:w="4080"/>
            <w:vAlign w:val="center"/>
          </w:tcPr>
          <w:p>
            <w:r>
              <w:rPr>
                <w:rFonts w:eastAsia="宋体" w:ascii="Times New Roman" w:hAnsi="Times New Roman" w:cs="Times New Roman"/>
                <w:b w:val="false"/>
                <w:i w:val="false"/>
                <w:sz w:val="22"/>
              </w:rPr>
              <w:t>491项</w:t>
            </w:r>
          </w:p>
        </w:tc>
        <w:tc>
          <w:tcPr>
            <w:tcW w:type="dxa" w:w="4080"/>
            <w:vAlign w:val="center"/>
          </w:tcPr>
          <w:p>
            <w:r>
              <w:rPr>
                <w:rFonts w:eastAsia="宋体" w:ascii="Times New Roman" w:hAnsi="Times New Roman" w:cs="Times New Roman"/>
                <w:b w:val="false"/>
                <w:i w:val="false"/>
                <w:sz w:val="22"/>
              </w:rPr>
              <w:t>支撑解决方案开发</w:t>
            </w:r>
          </w:p>
        </w:tc>
      </w:tr>
      <w:tr>
        <w:tc>
          <w:tcPr>
            <w:tcW w:type="dxa" w:w="4080"/>
            <w:vAlign w:val="center"/>
          </w:tcPr>
          <w:p>
            <w:r>
              <w:rPr>
                <w:rFonts w:eastAsia="宋体" w:ascii="Times New Roman" w:hAnsi="Times New Roman" w:cs="Times New Roman"/>
                <w:b w:val="false"/>
                <w:i w:val="false"/>
                <w:sz w:val="22"/>
              </w:rPr>
              <w:t>资质认证</w:t>
            </w:r>
          </w:p>
        </w:tc>
        <w:tc>
          <w:tcPr>
            <w:tcW w:type="dxa" w:w="4080"/>
            <w:vAlign w:val="center"/>
          </w:tcPr>
          <w:p>
            <w:r>
              <w:rPr>
                <w:rFonts w:eastAsia="宋体" w:ascii="Times New Roman" w:hAnsi="Times New Roman" w:cs="Times New Roman"/>
                <w:b w:val="false"/>
                <w:i w:val="false"/>
                <w:sz w:val="22"/>
              </w:rPr>
              <w:t>国防军工准入等</w:t>
            </w:r>
          </w:p>
        </w:tc>
        <w:tc>
          <w:tcPr>
            <w:tcW w:type="dxa" w:w="4080"/>
            <w:vAlign w:val="center"/>
          </w:tcPr>
          <w:p>
            <w:r>
              <w:rPr>
                <w:rFonts w:eastAsia="宋体" w:ascii="Times New Roman" w:hAnsi="Times New Roman" w:cs="Times New Roman"/>
                <w:b w:val="false"/>
                <w:i w:val="false"/>
                <w:sz w:val="22"/>
              </w:rPr>
              <w:t>保障行业合规性</w:t>
            </w:r>
          </w:p>
        </w:tc>
      </w:tr>
      <w:tr>
        <w:tc>
          <w:tcPr>
            <w:tcW w:type="dxa" w:w="4080"/>
            <w:vAlign w:val="center"/>
          </w:tcPr>
          <w:p>
            <w:r>
              <w:rPr>
                <w:rFonts w:eastAsia="宋体" w:ascii="Times New Roman" w:hAnsi="Times New Roman" w:cs="Times New Roman"/>
                <w:b w:val="false"/>
                <w:i w:val="false"/>
                <w:sz w:val="22"/>
              </w:rPr>
              <w:t>国家荣誉</w:t>
            </w:r>
          </w:p>
        </w:tc>
        <w:tc>
          <w:tcPr>
            <w:tcW w:type="dxa" w:w="4080"/>
            <w:vAlign w:val="center"/>
          </w:tcPr>
          <w:p>
            <w:r>
              <w:rPr>
                <w:rFonts w:eastAsia="宋体" w:ascii="Times New Roman" w:hAnsi="Times New Roman" w:cs="Times New Roman"/>
                <w:b w:val="false"/>
                <w:i w:val="false"/>
                <w:sz w:val="22"/>
              </w:rPr>
              <w:t>技术发明二等奖</w:t>
            </w:r>
          </w:p>
        </w:tc>
        <w:tc>
          <w:tcPr>
            <w:tcW w:type="dxa" w:w="4080"/>
            <w:vAlign w:val="center"/>
          </w:tcPr>
          <w:p>
            <w:r>
              <w:rPr>
                <w:rFonts w:eastAsia="宋体" w:ascii="Times New Roman" w:hAnsi="Times New Roman" w:cs="Times New Roman"/>
                <w:b w:val="false"/>
                <w:i w:val="false"/>
                <w:sz w:val="22"/>
              </w:rPr>
              <w:t>创新实力体现</w:t>
            </w:r>
          </w:p>
        </w:tc>
      </w:tr>
    </w:tbl>
    <w:p>
      <w:pPr>
        <w:spacing w:line="240" w:lineRule="auto" w:before="120" w:after="120"/>
        <w:ind w:firstLine="0"/>
        <w:jc w:val="left"/>
      </w:pPr>
      <w:r>
        <w:rPr>
          <w:rFonts w:eastAsia="宋体" w:ascii="Times New Roman" w:hAnsi="Times New Roman" w:cs="Times New Roman"/>
          <w:b w:val="false"/>
          <w:i w:val="false"/>
          <w:sz w:val="22"/>
        </w:rPr>
        <w:t>表格数据综合自百度百科2025年12月发布的公司简介</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。在组织架构上，董事长高小离与总经理王伟领导团队，2025年薪酬分别为44.3万元和85.84万元，同比有所调整</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rPr>
        <w:t>。华力创通以“自主可控”为核心理念，为航空航天、国防电子及特种装备市场提供系统化解决方案，持续强化其在信息化战争和精确制导等高端应用场景的竞争力</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1.2 主营业务与产业布局</w:t>
      </w:r>
    </w:p>
    <w:p>
      <w:pPr>
        <w:spacing w:line="240" w:lineRule="auto" w:before="120" w:after="120"/>
        <w:ind w:firstLine="0"/>
        <w:jc w:val="left"/>
      </w:pPr>
      <w:r>
        <w:rPr>
          <w:rFonts w:eastAsia="宋体" w:ascii="Times New Roman" w:hAnsi="Times New Roman" w:cs="Times New Roman"/>
          <w:b w:val="false"/>
          <w:i w:val="false"/>
          <w:sz w:val="22"/>
        </w:rPr>
        <w:t>华力创通作为国内领先的国防及行业信息化解决方案提供商，主营业务聚焦四大核心领域：卫星应用、仿真测试、雷达信号处理及无人系统，形成覆盖“芯片-模组-终端-解决方案-管理平台-检测仪器”的完整产业链体系</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在卫星应用领域，公司已构建从核心芯片研发、模组设计、终端设备制造到系统解决方案的全链条能力，具备批量生产订货的规模化交付实力，2025年该业务收入达3.67亿元，占营收比重46.95%，同比增长48.72%，首次跃升为第一大收入来源</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仿真测试业务主要包括机电仿真测试与仿真应用集成，2025年合计贡献营收30.77%，其中机电仿真测试收入1.56亿元（占比19.91%），仿真应用集成收入8488.53万元（占比10.86%），主要服务于航空、航天及轨道交通领域的高端装备验证需求</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在雷达信号处理方向，公司专注于宽带信号记录与发生器、通用信号处理平台等产品开发，2025年收入9506.57万元，同比增长58.73%，占营收12.16%；无人系统业务则结合导航与通信技术，为智能装备提供控制解决方案</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。产业布局呈现“军工+民用”双轨驱动：军工领域深度服务国防需求，为精确制导武器、电子对抗、信息化作战等提供自主可控的核心器件及系统，已获得完整国防军工准入资质</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；民用领域技术成果转化至应急管理、安全监测、交通运输、智慧城市及低空经济，例如通过参与国家汽车移动物联网建设，拓展北斗导航在车联网的应用场景</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[10]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业务结构方面，公司通过多元化产品线降低单一市场风险。2025年主营业务收入分布如下：</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业务类型</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收入（亿元）</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营收占比</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同比增长</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卫星应用</w:t>
            </w:r>
          </w:p>
        </w:tc>
        <w:tc>
          <w:tcPr>
            <w:tcW w:type="dxa" w:w="3060"/>
            <w:vAlign w:val="center"/>
          </w:tcPr>
          <w:p>
            <w:r>
              <w:rPr>
                <w:rFonts w:eastAsia="宋体" w:ascii="Times New Roman" w:hAnsi="Times New Roman" w:cs="Times New Roman"/>
                <w:b w:val="false"/>
                <w:i w:val="false"/>
                <w:sz w:val="22"/>
              </w:rPr>
              <w:t>3.67</w:t>
            </w:r>
          </w:p>
        </w:tc>
        <w:tc>
          <w:tcPr>
            <w:tcW w:type="dxa" w:w="3060"/>
            <w:vAlign w:val="center"/>
          </w:tcPr>
          <w:p>
            <w:r>
              <w:rPr>
                <w:rFonts w:eastAsia="宋体" w:ascii="Times New Roman" w:hAnsi="Times New Roman" w:cs="Times New Roman"/>
                <w:b w:val="false"/>
                <w:i w:val="false"/>
                <w:sz w:val="22"/>
              </w:rPr>
              <w:t>46.95%</w:t>
            </w:r>
          </w:p>
        </w:tc>
        <w:tc>
          <w:tcPr>
            <w:tcW w:type="dxa" w:w="3060"/>
            <w:vAlign w:val="center"/>
          </w:tcPr>
          <w:p>
            <w:r>
              <w:rPr>
                <w:rFonts w:eastAsia="宋体" w:ascii="Times New Roman" w:hAnsi="Times New Roman" w:cs="Times New Roman"/>
                <w:b w:val="false"/>
                <w:i w:val="false"/>
                <w:sz w:val="22"/>
              </w:rPr>
              <w:t>48.72%</w:t>
            </w:r>
          </w:p>
        </w:tc>
      </w:tr>
      <w:tr>
        <w:tc>
          <w:tcPr>
            <w:tcW w:type="dxa" w:w="3060"/>
            <w:vAlign w:val="center"/>
          </w:tcPr>
          <w:p>
            <w:r>
              <w:rPr>
                <w:rFonts w:eastAsia="宋体" w:ascii="Times New Roman" w:hAnsi="Times New Roman" w:cs="Times New Roman"/>
                <w:b w:val="false"/>
                <w:i w:val="false"/>
                <w:sz w:val="22"/>
              </w:rPr>
              <w:t>机电仿真测试</w:t>
            </w:r>
          </w:p>
        </w:tc>
        <w:tc>
          <w:tcPr>
            <w:tcW w:type="dxa" w:w="3060"/>
            <w:vAlign w:val="center"/>
          </w:tcPr>
          <w:p>
            <w:r>
              <w:rPr>
                <w:rFonts w:eastAsia="宋体" w:ascii="Times New Roman" w:hAnsi="Times New Roman" w:cs="Times New Roman"/>
                <w:b w:val="false"/>
                <w:i w:val="false"/>
                <w:sz w:val="22"/>
              </w:rPr>
              <w:t>1.56</w:t>
            </w:r>
          </w:p>
        </w:tc>
        <w:tc>
          <w:tcPr>
            <w:tcW w:type="dxa" w:w="3060"/>
            <w:vAlign w:val="center"/>
          </w:tcPr>
          <w:p>
            <w:r>
              <w:rPr>
                <w:rFonts w:eastAsia="宋体" w:ascii="Times New Roman" w:hAnsi="Times New Roman" w:cs="Times New Roman"/>
                <w:b w:val="false"/>
                <w:i w:val="false"/>
                <w:sz w:val="22"/>
              </w:rPr>
              <w:t>19.91%</w:t>
            </w:r>
          </w:p>
        </w:tc>
        <w:tc>
          <w:tcPr>
            <w:tcW w:type="dxa" w:w="3060"/>
            <w:vAlign w:val="center"/>
          </w:tcPr>
          <w:p>
            <w:r>
              <w:rPr>
                <w:rFonts w:eastAsia="宋体" w:ascii="Times New Roman" w:hAnsi="Times New Roman" w:cs="Times New Roman"/>
                <w:b w:val="false"/>
                <w:i w:val="false"/>
                <w:sz w:val="22"/>
              </w:rPr>
              <w:t>31.38%</w:t>
            </w:r>
          </w:p>
        </w:tc>
      </w:tr>
      <w:tr>
        <w:tc>
          <w:tcPr>
            <w:tcW w:type="dxa" w:w="3060"/>
            <w:vAlign w:val="center"/>
          </w:tcPr>
          <w:p>
            <w:r>
              <w:rPr>
                <w:rFonts w:eastAsia="宋体" w:ascii="Times New Roman" w:hAnsi="Times New Roman" w:cs="Times New Roman"/>
                <w:b w:val="false"/>
                <w:i w:val="false"/>
                <w:sz w:val="22"/>
              </w:rPr>
              <w:t>信号处理</w:t>
            </w:r>
          </w:p>
        </w:tc>
        <w:tc>
          <w:tcPr>
            <w:tcW w:type="dxa" w:w="3060"/>
            <w:vAlign w:val="center"/>
          </w:tcPr>
          <w:p>
            <w:r>
              <w:rPr>
                <w:rFonts w:eastAsia="宋体" w:ascii="Times New Roman" w:hAnsi="Times New Roman" w:cs="Times New Roman"/>
                <w:b w:val="false"/>
                <w:i w:val="false"/>
                <w:sz w:val="22"/>
              </w:rPr>
              <w:t>0.95</w:t>
            </w:r>
          </w:p>
        </w:tc>
        <w:tc>
          <w:tcPr>
            <w:tcW w:type="dxa" w:w="3060"/>
            <w:vAlign w:val="center"/>
          </w:tcPr>
          <w:p>
            <w:r>
              <w:rPr>
                <w:rFonts w:eastAsia="宋体" w:ascii="Times New Roman" w:hAnsi="Times New Roman" w:cs="Times New Roman"/>
                <w:b w:val="false"/>
                <w:i w:val="false"/>
                <w:sz w:val="22"/>
              </w:rPr>
              <w:t>12.16%</w:t>
            </w:r>
          </w:p>
        </w:tc>
        <w:tc>
          <w:tcPr>
            <w:tcW w:type="dxa" w:w="3060"/>
            <w:vAlign w:val="center"/>
          </w:tcPr>
          <w:p>
            <w:r>
              <w:rPr>
                <w:rFonts w:eastAsia="宋体" w:ascii="Times New Roman" w:hAnsi="Times New Roman" w:cs="Times New Roman"/>
                <w:b w:val="false"/>
                <w:i w:val="false"/>
                <w:sz w:val="22"/>
              </w:rPr>
              <w:t>58.73%</w:t>
            </w:r>
          </w:p>
        </w:tc>
      </w:tr>
      <w:tr>
        <w:tc>
          <w:tcPr>
            <w:tcW w:type="dxa" w:w="3060"/>
            <w:vAlign w:val="center"/>
          </w:tcPr>
          <w:p>
            <w:r>
              <w:rPr>
                <w:rFonts w:eastAsia="宋体" w:ascii="Times New Roman" w:hAnsi="Times New Roman" w:cs="Times New Roman"/>
                <w:b w:val="false"/>
                <w:i w:val="false"/>
                <w:sz w:val="22"/>
              </w:rPr>
              <w:t>仿真应用集成</w:t>
            </w:r>
          </w:p>
        </w:tc>
        <w:tc>
          <w:tcPr>
            <w:tcW w:type="dxa" w:w="3060"/>
            <w:vAlign w:val="center"/>
          </w:tcPr>
          <w:p>
            <w:r>
              <w:rPr>
                <w:rFonts w:eastAsia="宋体" w:ascii="Times New Roman" w:hAnsi="Times New Roman" w:cs="Times New Roman"/>
                <w:b w:val="false"/>
                <w:i w:val="false"/>
                <w:sz w:val="22"/>
              </w:rPr>
              <w:t>0.85</w:t>
            </w:r>
          </w:p>
        </w:tc>
        <w:tc>
          <w:tcPr>
            <w:tcW w:type="dxa" w:w="3060"/>
            <w:vAlign w:val="center"/>
          </w:tcPr>
          <w:p>
            <w:r>
              <w:rPr>
                <w:rFonts w:eastAsia="宋体" w:ascii="Times New Roman" w:hAnsi="Times New Roman" w:cs="Times New Roman"/>
                <w:b w:val="false"/>
                <w:i w:val="false"/>
                <w:sz w:val="22"/>
              </w:rPr>
              <w:t>10.86%</w:t>
            </w:r>
          </w:p>
        </w:tc>
        <w:tc>
          <w:tcPr>
            <w:tcW w:type="dxa" w:w="3060"/>
            <w:vAlign w:val="center"/>
          </w:tcPr>
          <w:p>
            <w:r>
              <w:rPr>
                <w:rFonts w:eastAsia="宋体" w:ascii="Times New Roman" w:hAnsi="Times New Roman" w:cs="Times New Roman"/>
                <w:b w:val="false"/>
                <w:i w:val="false"/>
                <w:sz w:val="22"/>
              </w:rPr>
              <w:t>27.43%</w:t>
            </w:r>
          </w:p>
        </w:tc>
      </w:tr>
      <w:tr>
        <w:tc>
          <w:tcPr>
            <w:tcW w:type="dxa" w:w="3060"/>
            <w:vAlign w:val="center"/>
          </w:tcPr>
          <w:p>
            <w:r>
              <w:rPr>
                <w:rFonts w:eastAsia="宋体" w:ascii="Times New Roman" w:hAnsi="Times New Roman" w:cs="Times New Roman"/>
                <w:b w:val="false"/>
                <w:i w:val="false"/>
                <w:sz w:val="22"/>
              </w:rPr>
              <w:t>其他主营业务</w:t>
            </w:r>
          </w:p>
        </w:tc>
        <w:tc>
          <w:tcPr>
            <w:tcW w:type="dxa" w:w="3060"/>
            <w:vAlign w:val="center"/>
          </w:tcPr>
          <w:p>
            <w:r>
              <w:rPr>
                <w:rFonts w:eastAsia="宋体" w:ascii="Times New Roman" w:hAnsi="Times New Roman" w:cs="Times New Roman"/>
                <w:b w:val="false"/>
                <w:i w:val="false"/>
                <w:sz w:val="22"/>
              </w:rPr>
              <w:t>0.79</w:t>
            </w:r>
          </w:p>
        </w:tc>
        <w:tc>
          <w:tcPr>
            <w:tcW w:type="dxa" w:w="3060"/>
            <w:vAlign w:val="center"/>
          </w:tcPr>
          <w:p>
            <w:r>
              <w:rPr>
                <w:rFonts w:eastAsia="宋体" w:ascii="Times New Roman" w:hAnsi="Times New Roman" w:cs="Times New Roman"/>
                <w:b w:val="false"/>
                <w:i w:val="false"/>
                <w:sz w:val="22"/>
              </w:rPr>
              <w:t>10.06%</w:t>
            </w:r>
          </w:p>
        </w:tc>
        <w:tc>
          <w:tcPr>
            <w:tcW w:type="dxa" w:w="3060"/>
            <w:vAlign w:val="center"/>
          </w:tcPr>
          <w:p>
            <w:r>
              <w:rPr>
                <w:rFonts w:eastAsia="宋体" w:ascii="Times New Roman" w:hAnsi="Times New Roman" w:cs="Times New Roman"/>
                <w:b w:val="false"/>
                <w:i w:val="false"/>
                <w:sz w:val="22"/>
              </w:rPr>
              <w:t>45.81%</w:t>
            </w:r>
          </w:p>
        </w:tc>
      </w:tr>
    </w:tbl>
    <w:p>
      <w:pPr>
        <w:spacing w:line="240" w:lineRule="auto" w:before="120" w:after="120"/>
        <w:ind w:firstLine="0"/>
        <w:jc w:val="left"/>
      </w:pPr>
      <w:r>
        <w:rPr>
          <w:rFonts w:eastAsia="宋体" w:ascii="Times New Roman" w:hAnsi="Times New Roman" w:cs="Times New Roman"/>
          <w:b w:val="false"/>
          <w:i w:val="true"/>
          <w:sz w:val="22"/>
        </w:rPr>
        <w:t>表格数据综合自2025年年报及业绩公告</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[11]</w:t>
      </w:r>
    </w:p>
    <w:p>
      <w:pPr>
        <w:spacing w:line="240" w:lineRule="auto" w:before="120" w:after="120"/>
        <w:ind w:firstLine="0"/>
        <w:jc w:val="left"/>
      </w:pPr>
      <w:r>
        <w:rPr>
          <w:rFonts w:eastAsia="宋体" w:ascii="Times New Roman" w:hAnsi="Times New Roman" w:cs="Times New Roman"/>
          <w:b w:val="false"/>
          <w:i w:val="false"/>
          <w:sz w:val="22"/>
        </w:rPr>
        <w:t>技术迁移能力是核心竞争力之一，例如将航空电子技术应用于轨道交通装备，形成智慧交通解决方案，同时依托时空大数据、地理信息等概念板块拓展行业应用边界</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[12]</w:t>
      </w:r>
      <w:r>
        <w:rPr>
          <w:rFonts w:eastAsia="宋体" w:ascii="Times New Roman" w:hAnsi="Times New Roman" w:cs="Times New Roman"/>
          <w:b w:val="false"/>
          <w:i w:val="false"/>
          <w:sz w:val="22"/>
        </w:rPr>
        <w:t>。产能布局上，北京总部聚焦研发与高端制造，通过模块化生产线实现柔性化生产，支撑多领域订单的快速响应</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1.3 行业地位与核心竞争力</w:t>
      </w:r>
    </w:p>
    <w:p>
      <w:pPr>
        <w:spacing w:line="240" w:lineRule="auto" w:before="120" w:after="120"/>
        <w:ind w:firstLine="0"/>
        <w:jc w:val="left"/>
      </w:pPr>
      <w:r>
        <w:rPr>
          <w:rFonts w:eastAsia="宋体" w:ascii="Times New Roman" w:hAnsi="Times New Roman" w:cs="Times New Roman"/>
          <w:b w:val="false"/>
          <w:i w:val="false"/>
          <w:sz w:val="22"/>
        </w:rPr>
        <w:t>华力创通在国防及行业信息化领域深耕二十余载，已构建起覆盖"芯片-模组-终端-解决方案-管理平台-检测仪器"的完整产业链体系，形成支撑批量生产的系列化产品制造能力</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公司核心竞争优势首先体现为技术壁垒的全面构筑：作为国内极少数同时掌握卫星通信与卫星导航双核心技术的民营企业，其"通导一体"技术架构实现高轨（天通）、低轨及北斗系统的深度融合，成功研制出采用SOC架构的天通卫星移动通信基带芯片，具备低功耗、高集成度特性，并完成与北斗定位的一体化设计</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这种技术先发优势使公司成为天通一号消费级基带芯片国内唯一量产企业，全球范围内仅高通、苹果与华力创通具备量产能力，2025年手机端芯片出货量已突破2000万颗，为华为、荣耀、小米等主流手机厂商提供核心卫星通信解决方案</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在产业链布局方面，公司形成"芯-端-系统"全链条自主可控能力，卫星应用业务营收占比达46.95%（2025年），其中基带芯片、模组及终端产品通过工信部严格入网认证，构建起从底层技术到应用落地的闭环生态</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技术优势延伸至低轨卫星领域，公司深度参与国内低轨卫星通信协议与行业标准论证，完成多模卫星通信芯片（支持L/S/Ka多频段）、星载抗辐照模组及激光通信终端等关键技术储备，产品技术指标达国际先进水平</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市场地位方面，公司占据三大核心制高点：</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军品市场</w:t>
      </w:r>
      <w:r>
        <w:rPr>
          <w:rFonts w:eastAsia="宋体" w:ascii="Times New Roman" w:hAnsi="Times New Roman" w:cs="Times New Roman"/>
          <w:b w:val="false"/>
          <w:i w:val="false"/>
          <w:sz w:val="22"/>
        </w:rPr>
        <w:t>：拥有北斗三号军品基带芯片供应商资质（唯三获装备发展部认证的民企），产品应用于精确制导武器、电子对抗等高端装备</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民用垄断</w:t>
      </w:r>
      <w:r>
        <w:rPr>
          <w:rFonts w:eastAsia="宋体" w:ascii="Times New Roman" w:hAnsi="Times New Roman" w:cs="Times New Roman"/>
          <w:b w:val="false"/>
          <w:i w:val="false"/>
          <w:sz w:val="22"/>
        </w:rPr>
        <w:t>：天通卫星通信模组垄断民用市场，系中国电信天通一号终端独家供应商</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商业航天</w:t>
      </w:r>
      <w:r>
        <w:rPr>
          <w:rFonts w:eastAsia="宋体" w:ascii="Times New Roman" w:hAnsi="Times New Roman" w:cs="Times New Roman"/>
          <w:b w:val="false"/>
          <w:i w:val="false"/>
          <w:sz w:val="22"/>
        </w:rPr>
        <w:t>：成为国内唯一同时进入星网集团、银河航天供应链的民营企业，深度绑定全球低轨卫星头部客户</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vertAlign w:val="superscript"/>
        </w:rPr>
        <w:t>[19]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行业认证壁垒进一步强化竞争力，公司持有完备的军工准入资质，参与北斗/天通行业标准制定，技术成果通过军用级可靠性认证（如-100℃至125℃极端环境耐受）</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rPr>
        <w:t>。2025年研发投入达1.84亿元（占营收23.48%），持续投入保障氮化镓工艺、激光通信等前沿技术迭代</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。员工效率优化显著，人均创收112.3万元（同比提升50.92%），支撑高研发强度下的运营效能</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表：2025年主营业务结构及增长表现</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产品类别</w:t>
            </w:r>
          </w:p>
        </w:tc>
        <w:tc>
          <w:tcPr>
            <w:tcW w:type="dxa" w:w="3060"/>
            <w:vAlign w:val="center"/>
          </w:tcPr>
          <w:p>
            <w:r>
              <w:rPr>
                <w:rFonts w:eastAsia="宋体" w:ascii="Times New Roman" w:hAnsi="Times New Roman" w:cs="Times New Roman"/>
                <w:b w:val="false"/>
                <w:i w:val="false"/>
                <w:sz w:val="22"/>
              </w:rPr>
              <w:t>收入(亿元)</w:t>
            </w:r>
          </w:p>
        </w:tc>
        <w:tc>
          <w:tcPr>
            <w:tcW w:type="dxa" w:w="3060"/>
            <w:vAlign w:val="center"/>
          </w:tcPr>
          <w:p>
            <w:r>
              <w:rPr>
                <w:rFonts w:eastAsia="宋体" w:ascii="Times New Roman" w:hAnsi="Times New Roman" w:cs="Times New Roman"/>
                <w:b w:val="false"/>
                <w:i w:val="false"/>
                <w:sz w:val="22"/>
              </w:rPr>
              <w:t>同比增长</w:t>
            </w:r>
          </w:p>
        </w:tc>
        <w:tc>
          <w:tcPr>
            <w:tcW w:type="dxa" w:w="3060"/>
            <w:vAlign w:val="center"/>
          </w:tcPr>
          <w:p>
            <w:r>
              <w:rPr>
                <w:rFonts w:eastAsia="宋体" w:ascii="Times New Roman" w:hAnsi="Times New Roman" w:cs="Times New Roman"/>
                <w:b w:val="false"/>
                <w:i w:val="false"/>
                <w:sz w:val="22"/>
              </w:rPr>
              <w:t>营收占比</w:t>
            </w:r>
          </w:p>
        </w:tc>
      </w:tr>
      <w:tr>
        <w:tc>
          <w:tcPr>
            <w:tcW w:type="dxa" w:w="3060"/>
            <w:vAlign w:val="center"/>
          </w:tcPr>
          <w:p>
            <w:r>
              <w:rPr>
                <w:rFonts w:eastAsia="宋体" w:ascii="Times New Roman" w:hAnsi="Times New Roman" w:cs="Times New Roman"/>
                <w:b w:val="false"/>
                <w:i w:val="false"/>
                <w:sz w:val="22"/>
              </w:rPr>
              <w:t>卫星应用</w:t>
            </w:r>
          </w:p>
        </w:tc>
        <w:tc>
          <w:tcPr>
            <w:tcW w:type="dxa" w:w="3060"/>
            <w:vAlign w:val="center"/>
          </w:tcPr>
          <w:p>
            <w:r>
              <w:rPr>
                <w:rFonts w:eastAsia="宋体" w:ascii="Times New Roman" w:hAnsi="Times New Roman" w:cs="Times New Roman"/>
                <w:b w:val="false"/>
                <w:i w:val="false"/>
                <w:sz w:val="22"/>
              </w:rPr>
              <w:t>3.67</w:t>
            </w:r>
          </w:p>
        </w:tc>
        <w:tc>
          <w:tcPr>
            <w:tcW w:type="dxa" w:w="3060"/>
            <w:vAlign w:val="center"/>
          </w:tcPr>
          <w:p>
            <w:r>
              <w:rPr>
                <w:rFonts w:eastAsia="宋体" w:ascii="Times New Roman" w:hAnsi="Times New Roman" w:cs="Times New Roman"/>
                <w:b w:val="false"/>
                <w:i w:val="false"/>
                <w:sz w:val="22"/>
              </w:rPr>
              <w:t>48.72%</w:t>
            </w:r>
          </w:p>
        </w:tc>
        <w:tc>
          <w:tcPr>
            <w:tcW w:type="dxa" w:w="3060"/>
            <w:vAlign w:val="center"/>
          </w:tcPr>
          <w:p>
            <w:r>
              <w:rPr>
                <w:rFonts w:eastAsia="宋体" w:ascii="Times New Roman" w:hAnsi="Times New Roman" w:cs="Times New Roman"/>
                <w:b w:val="false"/>
                <w:i w:val="false"/>
                <w:sz w:val="22"/>
              </w:rPr>
              <w:t>46.95%</w:t>
            </w:r>
          </w:p>
        </w:tc>
      </w:tr>
      <w:tr>
        <w:tc>
          <w:tcPr>
            <w:tcW w:type="dxa" w:w="3060"/>
            <w:vAlign w:val="center"/>
          </w:tcPr>
          <w:p>
            <w:r>
              <w:rPr>
                <w:rFonts w:eastAsia="宋体" w:ascii="Times New Roman" w:hAnsi="Times New Roman" w:cs="Times New Roman"/>
                <w:b w:val="false"/>
                <w:i w:val="false"/>
                <w:sz w:val="22"/>
              </w:rPr>
              <w:t>机电仿真测试</w:t>
            </w:r>
          </w:p>
        </w:tc>
        <w:tc>
          <w:tcPr>
            <w:tcW w:type="dxa" w:w="3060"/>
            <w:vAlign w:val="center"/>
          </w:tcPr>
          <w:p>
            <w:r>
              <w:rPr>
                <w:rFonts w:eastAsia="宋体" w:ascii="Times New Roman" w:hAnsi="Times New Roman" w:cs="Times New Roman"/>
                <w:b w:val="false"/>
                <w:i w:val="false"/>
                <w:sz w:val="22"/>
              </w:rPr>
              <w:t>1.56</w:t>
            </w:r>
          </w:p>
        </w:tc>
        <w:tc>
          <w:tcPr>
            <w:tcW w:type="dxa" w:w="3060"/>
            <w:vAlign w:val="center"/>
          </w:tcPr>
          <w:p>
            <w:r>
              <w:rPr>
                <w:rFonts w:eastAsia="宋体" w:ascii="Times New Roman" w:hAnsi="Times New Roman" w:cs="Times New Roman"/>
                <w:b w:val="false"/>
                <w:i w:val="false"/>
                <w:sz w:val="22"/>
              </w:rPr>
              <w:t>31.38%</w:t>
            </w:r>
          </w:p>
        </w:tc>
        <w:tc>
          <w:tcPr>
            <w:tcW w:type="dxa" w:w="3060"/>
            <w:vAlign w:val="center"/>
          </w:tcPr>
          <w:p>
            <w:r>
              <w:rPr>
                <w:rFonts w:eastAsia="宋体" w:ascii="Times New Roman" w:hAnsi="Times New Roman" w:cs="Times New Roman"/>
                <w:b w:val="false"/>
                <w:i w:val="false"/>
                <w:sz w:val="22"/>
              </w:rPr>
              <w:t>19.91%</w:t>
            </w:r>
          </w:p>
        </w:tc>
      </w:tr>
      <w:tr>
        <w:tc>
          <w:tcPr>
            <w:tcW w:type="dxa" w:w="3060"/>
            <w:vAlign w:val="center"/>
          </w:tcPr>
          <w:p>
            <w:r>
              <w:rPr>
                <w:rFonts w:eastAsia="宋体" w:ascii="Times New Roman" w:hAnsi="Times New Roman" w:cs="Times New Roman"/>
                <w:b w:val="false"/>
                <w:i w:val="false"/>
                <w:sz w:val="22"/>
              </w:rPr>
              <w:t>信号处理</w:t>
            </w:r>
          </w:p>
        </w:tc>
        <w:tc>
          <w:tcPr>
            <w:tcW w:type="dxa" w:w="3060"/>
            <w:vAlign w:val="center"/>
          </w:tcPr>
          <w:p>
            <w:r>
              <w:rPr>
                <w:rFonts w:eastAsia="宋体" w:ascii="Times New Roman" w:hAnsi="Times New Roman" w:cs="Times New Roman"/>
                <w:b w:val="false"/>
                <w:i w:val="false"/>
                <w:sz w:val="22"/>
              </w:rPr>
              <w:t>0.95</w:t>
            </w:r>
          </w:p>
        </w:tc>
        <w:tc>
          <w:tcPr>
            <w:tcW w:type="dxa" w:w="3060"/>
            <w:vAlign w:val="center"/>
          </w:tcPr>
          <w:p>
            <w:r>
              <w:rPr>
                <w:rFonts w:eastAsia="宋体" w:ascii="Times New Roman" w:hAnsi="Times New Roman" w:cs="Times New Roman"/>
                <w:b w:val="false"/>
                <w:i w:val="false"/>
                <w:sz w:val="22"/>
              </w:rPr>
              <w:t>58.73%</w:t>
            </w:r>
          </w:p>
        </w:tc>
        <w:tc>
          <w:tcPr>
            <w:tcW w:type="dxa" w:w="3060"/>
            <w:vAlign w:val="center"/>
          </w:tcPr>
          <w:p>
            <w:r>
              <w:rPr>
                <w:rFonts w:eastAsia="宋体" w:ascii="Times New Roman" w:hAnsi="Times New Roman" w:cs="Times New Roman"/>
                <w:b w:val="false"/>
                <w:i w:val="false"/>
                <w:sz w:val="22"/>
              </w:rPr>
              <w:t>12.16%</w:t>
            </w:r>
          </w:p>
        </w:tc>
      </w:tr>
      <w:tr>
        <w:tc>
          <w:tcPr>
            <w:tcW w:type="dxa" w:w="3060"/>
            <w:vAlign w:val="center"/>
          </w:tcPr>
          <w:p>
            <w:r>
              <w:rPr>
                <w:rFonts w:eastAsia="宋体" w:ascii="Times New Roman" w:hAnsi="Times New Roman" w:cs="Times New Roman"/>
                <w:b w:val="false"/>
                <w:i w:val="false"/>
                <w:sz w:val="22"/>
              </w:rPr>
              <w:t>仿真应用集成</w:t>
            </w:r>
          </w:p>
        </w:tc>
        <w:tc>
          <w:tcPr>
            <w:tcW w:type="dxa" w:w="3060"/>
            <w:vAlign w:val="center"/>
          </w:tcPr>
          <w:p>
            <w:r>
              <w:rPr>
                <w:rFonts w:eastAsia="宋体" w:ascii="Times New Roman" w:hAnsi="Times New Roman" w:cs="Times New Roman"/>
                <w:b w:val="false"/>
                <w:i w:val="false"/>
                <w:sz w:val="22"/>
              </w:rPr>
              <w:t>0.85</w:t>
            </w:r>
          </w:p>
        </w:tc>
        <w:tc>
          <w:tcPr>
            <w:tcW w:type="dxa" w:w="3060"/>
            <w:vAlign w:val="center"/>
          </w:tcPr>
          <w:p>
            <w:r>
              <w:rPr>
                <w:rFonts w:eastAsia="宋体" w:ascii="Times New Roman" w:hAnsi="Times New Roman" w:cs="Times New Roman"/>
                <w:b w:val="false"/>
                <w:i w:val="false"/>
                <w:sz w:val="22"/>
              </w:rPr>
              <w:t>27.43%</w:t>
            </w:r>
          </w:p>
        </w:tc>
        <w:tc>
          <w:tcPr>
            <w:tcW w:type="dxa" w:w="3060"/>
            <w:vAlign w:val="center"/>
          </w:tcPr>
          <w:p>
            <w:r>
              <w:rPr>
                <w:rFonts w:eastAsia="宋体" w:ascii="Times New Roman" w:hAnsi="Times New Roman" w:cs="Times New Roman"/>
                <w:b w:val="false"/>
                <w:i w:val="false"/>
                <w:sz w:val="22"/>
              </w:rPr>
              <w:t>10.86%</w:t>
            </w:r>
          </w:p>
        </w:tc>
      </w:tr>
      <w:tr>
        <w:tc>
          <w:tcPr>
            <w:tcW w:type="dxa" w:w="3060"/>
            <w:vAlign w:val="center"/>
          </w:tcPr>
          <w:p>
            <w:r>
              <w:rPr>
                <w:rFonts w:eastAsia="宋体" w:ascii="Times New Roman" w:hAnsi="Times New Roman" w:cs="Times New Roman"/>
                <w:b w:val="false"/>
                <w:i w:val="false"/>
                <w:sz w:val="22"/>
              </w:rPr>
              <w:t>其他主营业务</w:t>
            </w:r>
          </w:p>
        </w:tc>
        <w:tc>
          <w:tcPr>
            <w:tcW w:type="dxa" w:w="3060"/>
            <w:vAlign w:val="center"/>
          </w:tcPr>
          <w:p>
            <w:r>
              <w:rPr>
                <w:rFonts w:eastAsia="宋体" w:ascii="Times New Roman" w:hAnsi="Times New Roman" w:cs="Times New Roman"/>
                <w:b w:val="false"/>
                <w:i w:val="false"/>
                <w:sz w:val="22"/>
              </w:rPr>
              <w:t>0.79</w:t>
            </w:r>
          </w:p>
        </w:tc>
        <w:tc>
          <w:tcPr>
            <w:tcW w:type="dxa" w:w="3060"/>
            <w:vAlign w:val="center"/>
          </w:tcPr>
          <w:p>
            <w:r>
              <w:rPr>
                <w:rFonts w:eastAsia="宋体" w:ascii="Times New Roman" w:hAnsi="Times New Roman" w:cs="Times New Roman"/>
                <w:b w:val="false"/>
                <w:i w:val="false"/>
                <w:sz w:val="22"/>
              </w:rPr>
              <w:t>45.81%</w:t>
            </w:r>
          </w:p>
        </w:tc>
        <w:tc>
          <w:tcPr>
            <w:tcW w:type="dxa" w:w="3060"/>
            <w:vAlign w:val="center"/>
          </w:tcPr>
          <w:p>
            <w:r>
              <w:rPr>
                <w:rFonts w:eastAsia="宋体" w:ascii="Times New Roman" w:hAnsi="Times New Roman" w:cs="Times New Roman"/>
                <w:b w:val="false"/>
                <w:i w:val="false"/>
                <w:sz w:val="22"/>
              </w:rPr>
              <w:t>10.06%</w:t>
            </w:r>
          </w:p>
        </w:tc>
      </w:tr>
    </w:tbl>
    <w:p>
      <w:pPr>
        <w:spacing w:line="240" w:lineRule="auto" w:before="120" w:after="120"/>
        <w:ind w:firstLine="0"/>
        <w:jc w:val="left"/>
      </w:pPr>
      <w:r>
        <w:rPr>
          <w:rFonts w:eastAsia="宋体" w:ascii="Times New Roman" w:hAnsi="Times New Roman" w:cs="Times New Roman"/>
          <w:b w:val="false"/>
          <w:i w:val="true"/>
          <w:sz w:val="22"/>
        </w:rPr>
        <w:t>数据来源：公司2025年年报</w:t>
      </w:r>
      <w:r>
        <w:rPr>
          <w:rFonts w:eastAsia="宋体" w:ascii="Times New Roman" w:hAnsi="Times New Roman" w:cs="Times New Roman"/>
          <w:b w:val="false"/>
          <w:i w:val="false"/>
          <w:sz w:val="22"/>
          <w:vertAlign w:val="superscript"/>
        </w:rPr>
        <w:t>[4]</w:t>
      </w:r>
    </w:p>
    <w:p>
      <w:pPr>
        <w:pStyle w:val="EM_H1_STYLE"/>
        <w:spacing w:line="240" w:lineRule="auto" w:before="600" w:after="120"/>
        <w:ind w:left="0"/>
        <w:jc w:val="left"/>
      </w:pPr>
      <w:r>
        <w:rPr>
          <w:rFonts w:eastAsia="宋体" w:ascii="宋体" w:hAnsi="宋体" w:cs="宋体"/>
          <w:b w:val="true"/>
          <w:i w:val="false"/>
          <w:sz w:val="36"/>
        </w:rPr>
        <w:t>2. 财务分析</w:t>
      </w:r>
    </w:p>
    <w:p>
      <w:pPr>
        <w:spacing w:line="240" w:lineRule="auto" w:before="120" w:after="120"/>
        <w:ind w:firstLine="0"/>
        <w:jc w:val="left"/>
      </w:pPr>
    </w:p>
    <w:p>
      <w:pPr>
        <w:pStyle w:val="EM_H2_STYLE"/>
        <w:spacing w:line="240" w:lineRule="auto" w:before="120" w:after="120"/>
        <w:ind w:left="0"/>
        <w:jc w:val="left"/>
      </w:pPr>
      <w:r>
        <w:rPr>
          <w:rFonts w:eastAsia="宋体" w:ascii="宋体" w:hAnsi="宋体" w:cs="宋体"/>
          <w:b w:val="true"/>
          <w:i w:val="false"/>
          <w:sz w:val="28"/>
        </w:rPr>
        <w:t>2.1 收入与利润表现</w:t>
      </w:r>
    </w:p>
    <w:p>
      <w:pPr>
        <w:spacing w:line="240" w:lineRule="auto" w:before="120" w:after="120"/>
        <w:ind w:firstLine="0"/>
        <w:jc w:val="left"/>
      </w:pPr>
      <w:r>
        <w:rPr>
          <w:rFonts w:eastAsia="宋体" w:ascii="Times New Roman" w:hAnsi="Times New Roman" w:cs="Times New Roman"/>
          <w:b w:val="false"/>
          <w:i w:val="false"/>
          <w:sz w:val="22"/>
        </w:rPr>
        <w:t>华力创通2025年度业绩呈现显著的营收扩张与亏损收窄态势。全年实现营业收入7.82亿元，较上年同期的5.47亿元增长42.91%，主要源于产品销售规模扩大及项目交付量增加</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[20]</w:t>
      </w:r>
      <w:r>
        <w:rPr>
          <w:rFonts w:eastAsia="宋体" w:ascii="Times New Roman" w:hAnsi="Times New Roman" w:cs="Times New Roman"/>
          <w:b w:val="false"/>
          <w:i w:val="false"/>
          <w:sz w:val="22"/>
        </w:rPr>
        <w:t>。从业务结构看，卫星应用业务收入达3.67亿元，同比增长48.72%，占总营收比重升至46.95%，首次成为第一大收入来源；机电仿真测试业务收入1.56亿元，同比增长31.38%，占比19.91%，两大核心业务合计贡献66.86%的营收</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。分区域表现上，境内市场收入7.19亿元（占比91.97%）持续强化主导地位，境外收入6276万元（占比8.03%）</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盈利指标方面，全年归母净利润亏损6922.37万元，较上年同期亏损1.43亿元大幅收窄51.58%；扣非净利润亏损6593.09万元，同比收窄55.92%，反映主营业务盈利改善趋势强于整体报表表现</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[20]</w:t>
      </w:r>
      <w:r>
        <w:rPr>
          <w:rFonts w:eastAsia="宋体" w:ascii="Times New Roman" w:hAnsi="Times New Roman" w:cs="Times New Roman"/>
          <w:b w:val="false"/>
          <w:i w:val="false"/>
          <w:sz w:val="22"/>
        </w:rPr>
        <w:t>。值得注意的是第四季度单季亏损7861.18万元，显著高于前三季度累计水平，主要受季节性交付节奏与年末集中计提资产减值影响</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2026年第一季度延续增长态势，实现营收1.47亿元，同比增长6.94%，但环比下降32.57%（较2025年第四季度2.18亿元）。归母净利润亏损1195.67万元，同比减亏31.17%；扣非净利润亏损1193.40万元，同比收窄27.47% </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[22]</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 xml:space="preserve">。毛利率同比提升0.21个百分点至31.08%，净利率同比上升4.71个百分点至-7.94%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 xml:space="preserve">。费用管控呈现分化：销售费用同比增长29.00%，财务费用因利息支出增加猛增408.76%，但研发费用同比下降2.08%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表：关键财务指标同比变化</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true"/>
                <w:i w:val="false"/>
                <w:sz w:val="22"/>
              </w:rPr>
              <w:t>指标</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2025年度</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同比变化</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2026Q1</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同比变化</w:t>
            </w:r>
            <w:r>
              <w:rPr>
                <w:rFonts w:eastAsia="宋体" w:ascii="Times New Roman" w:hAnsi="Times New Roman" w:cs="Times New Roman"/>
                <w:b w:val="false"/>
                <w:i w:val="false"/>
                <w:sz w:val="22"/>
              </w:rPr>
              <w:t/>
            </w:r>
          </w:p>
        </w:tc>
      </w:tr>
      <w:tr>
        <w:tc>
          <w:tcPr>
            <w:tcW w:type="dxa" w:w="2448"/>
            <w:vAlign w:val="center"/>
          </w:tcPr>
          <w:p>
            <w:r>
              <w:rPr>
                <w:rFonts w:eastAsia="宋体" w:ascii="Times New Roman" w:hAnsi="Times New Roman" w:cs="Times New Roman"/>
                <w:b w:val="false"/>
                <w:i w:val="false"/>
                <w:sz w:val="22"/>
              </w:rPr>
              <w:t>营业收入</w:t>
            </w:r>
          </w:p>
        </w:tc>
        <w:tc>
          <w:tcPr>
            <w:tcW w:type="dxa" w:w="2448"/>
            <w:vAlign w:val="center"/>
          </w:tcPr>
          <w:p>
            <w:r>
              <w:rPr>
                <w:rFonts w:eastAsia="宋体" w:ascii="Times New Roman" w:hAnsi="Times New Roman" w:cs="Times New Roman"/>
                <w:b w:val="false"/>
                <w:i w:val="false"/>
                <w:sz w:val="22"/>
              </w:rPr>
              <w:t>7.82亿元</w:t>
            </w:r>
          </w:p>
        </w:tc>
        <w:tc>
          <w:tcPr>
            <w:tcW w:type="dxa" w:w="2448"/>
            <w:vAlign w:val="center"/>
          </w:tcPr>
          <w:p>
            <w:r>
              <w:rPr>
                <w:rFonts w:eastAsia="宋体" w:ascii="Times New Roman" w:hAnsi="Times New Roman" w:cs="Times New Roman"/>
                <w:b w:val="false"/>
                <w:i w:val="false"/>
                <w:sz w:val="22"/>
              </w:rPr>
              <w:t>+42.91%</w:t>
            </w:r>
          </w:p>
        </w:tc>
        <w:tc>
          <w:tcPr>
            <w:tcW w:type="dxa" w:w="2448"/>
            <w:vAlign w:val="center"/>
          </w:tcPr>
          <w:p>
            <w:r>
              <w:rPr>
                <w:rFonts w:eastAsia="宋体" w:ascii="Times New Roman" w:hAnsi="Times New Roman" w:cs="Times New Roman"/>
                <w:b w:val="false"/>
                <w:i w:val="false"/>
                <w:sz w:val="22"/>
              </w:rPr>
              <w:t>1.47亿元</w:t>
            </w:r>
          </w:p>
        </w:tc>
        <w:tc>
          <w:tcPr>
            <w:tcW w:type="dxa" w:w="2448"/>
            <w:vAlign w:val="center"/>
          </w:tcPr>
          <w:p>
            <w:r>
              <w:rPr>
                <w:rFonts w:eastAsia="宋体" w:ascii="Times New Roman" w:hAnsi="Times New Roman" w:cs="Times New Roman"/>
                <w:b w:val="false"/>
                <w:i w:val="false"/>
                <w:sz w:val="22"/>
              </w:rPr>
              <w:t>+6.94%</w:t>
            </w:r>
          </w:p>
        </w:tc>
      </w:tr>
      <w:tr>
        <w:tc>
          <w:tcPr>
            <w:tcW w:type="dxa" w:w="2448"/>
            <w:vAlign w:val="center"/>
          </w:tcPr>
          <w:p>
            <w:r>
              <w:rPr>
                <w:rFonts w:eastAsia="宋体" w:ascii="Times New Roman" w:hAnsi="Times New Roman" w:cs="Times New Roman"/>
                <w:b w:val="false"/>
                <w:i w:val="false"/>
                <w:sz w:val="22"/>
              </w:rPr>
              <w:t>归母净利润</w:t>
            </w:r>
          </w:p>
        </w:tc>
        <w:tc>
          <w:tcPr>
            <w:tcW w:type="dxa" w:w="2448"/>
            <w:vAlign w:val="center"/>
          </w:tcPr>
          <w:p>
            <w:r>
              <w:rPr>
                <w:rFonts w:eastAsia="宋体" w:ascii="Times New Roman" w:hAnsi="Times New Roman" w:cs="Times New Roman"/>
                <w:b w:val="false"/>
                <w:i w:val="false"/>
                <w:sz w:val="22"/>
              </w:rPr>
              <w:t>-6922万元</w:t>
            </w:r>
          </w:p>
        </w:tc>
        <w:tc>
          <w:tcPr>
            <w:tcW w:type="dxa" w:w="2448"/>
            <w:vAlign w:val="center"/>
          </w:tcPr>
          <w:p>
            <w:r>
              <w:rPr>
                <w:rFonts w:eastAsia="宋体" w:ascii="Times New Roman" w:hAnsi="Times New Roman" w:cs="Times New Roman"/>
                <w:b w:val="false"/>
                <w:i w:val="false"/>
                <w:sz w:val="22"/>
              </w:rPr>
              <w:t>收窄51.58%</w:t>
            </w:r>
          </w:p>
        </w:tc>
        <w:tc>
          <w:tcPr>
            <w:tcW w:type="dxa" w:w="2448"/>
            <w:vAlign w:val="center"/>
          </w:tcPr>
          <w:p>
            <w:r>
              <w:rPr>
                <w:rFonts w:eastAsia="宋体" w:ascii="Times New Roman" w:hAnsi="Times New Roman" w:cs="Times New Roman"/>
                <w:b w:val="false"/>
                <w:i w:val="false"/>
                <w:sz w:val="22"/>
              </w:rPr>
              <w:t>-1196万元</w:t>
            </w:r>
          </w:p>
        </w:tc>
        <w:tc>
          <w:tcPr>
            <w:tcW w:type="dxa" w:w="2448"/>
            <w:vAlign w:val="center"/>
          </w:tcPr>
          <w:p>
            <w:r>
              <w:rPr>
                <w:rFonts w:eastAsia="宋体" w:ascii="Times New Roman" w:hAnsi="Times New Roman" w:cs="Times New Roman"/>
                <w:b w:val="false"/>
                <w:i w:val="false"/>
                <w:sz w:val="22"/>
              </w:rPr>
              <w:t>收窄31.17%</w:t>
            </w:r>
          </w:p>
        </w:tc>
      </w:tr>
      <w:tr>
        <w:tc>
          <w:tcPr>
            <w:tcW w:type="dxa" w:w="2448"/>
            <w:vAlign w:val="center"/>
          </w:tcPr>
          <w:p>
            <w:r>
              <w:rPr>
                <w:rFonts w:eastAsia="宋体" w:ascii="Times New Roman" w:hAnsi="Times New Roman" w:cs="Times New Roman"/>
                <w:b w:val="false"/>
                <w:i w:val="false"/>
                <w:sz w:val="22"/>
              </w:rPr>
              <w:t>扣非净利润</w:t>
            </w:r>
          </w:p>
        </w:tc>
        <w:tc>
          <w:tcPr>
            <w:tcW w:type="dxa" w:w="2448"/>
            <w:vAlign w:val="center"/>
          </w:tcPr>
          <w:p>
            <w:r>
              <w:rPr>
                <w:rFonts w:eastAsia="宋体" w:ascii="Times New Roman" w:hAnsi="Times New Roman" w:cs="Times New Roman"/>
                <w:b w:val="false"/>
                <w:i w:val="false"/>
                <w:sz w:val="22"/>
              </w:rPr>
              <w:t>-6593万元</w:t>
            </w:r>
          </w:p>
        </w:tc>
        <w:tc>
          <w:tcPr>
            <w:tcW w:type="dxa" w:w="2448"/>
            <w:vAlign w:val="center"/>
          </w:tcPr>
          <w:p>
            <w:r>
              <w:rPr>
                <w:rFonts w:eastAsia="宋体" w:ascii="Times New Roman" w:hAnsi="Times New Roman" w:cs="Times New Roman"/>
                <w:b w:val="false"/>
                <w:i w:val="false"/>
                <w:sz w:val="22"/>
              </w:rPr>
              <w:t>收窄55.92%</w:t>
            </w:r>
          </w:p>
        </w:tc>
        <w:tc>
          <w:tcPr>
            <w:tcW w:type="dxa" w:w="2448"/>
            <w:vAlign w:val="center"/>
          </w:tcPr>
          <w:p>
            <w:r>
              <w:rPr>
                <w:rFonts w:eastAsia="宋体" w:ascii="Times New Roman" w:hAnsi="Times New Roman" w:cs="Times New Roman"/>
                <w:b w:val="false"/>
                <w:i w:val="false"/>
                <w:sz w:val="22"/>
              </w:rPr>
              <w:t>-1193万元</w:t>
            </w:r>
          </w:p>
        </w:tc>
        <w:tc>
          <w:tcPr>
            <w:tcW w:type="dxa" w:w="2448"/>
            <w:vAlign w:val="center"/>
          </w:tcPr>
          <w:p>
            <w:r>
              <w:rPr>
                <w:rFonts w:eastAsia="宋体" w:ascii="Times New Roman" w:hAnsi="Times New Roman" w:cs="Times New Roman"/>
                <w:b w:val="false"/>
                <w:i w:val="false"/>
                <w:sz w:val="22"/>
              </w:rPr>
              <w:t>收窄27.47%</w:t>
            </w:r>
          </w:p>
        </w:tc>
      </w:tr>
      <w:tr>
        <w:tc>
          <w:tcPr>
            <w:tcW w:type="dxa" w:w="2448"/>
            <w:vAlign w:val="center"/>
          </w:tcPr>
          <w:p>
            <w:r>
              <w:rPr>
                <w:rFonts w:eastAsia="宋体" w:ascii="Times New Roman" w:hAnsi="Times New Roman" w:cs="Times New Roman"/>
                <w:b w:val="false"/>
                <w:i w:val="false"/>
                <w:sz w:val="22"/>
              </w:rPr>
              <w:t>经营活动现金流</w:t>
            </w:r>
          </w:p>
        </w:tc>
        <w:tc>
          <w:tcPr>
            <w:tcW w:type="dxa" w:w="2448"/>
            <w:vAlign w:val="center"/>
          </w:tcPr>
          <w:p>
            <w:r>
              <w:rPr>
                <w:rFonts w:eastAsia="宋体" w:ascii="Times New Roman" w:hAnsi="Times New Roman" w:cs="Times New Roman"/>
                <w:b w:val="false"/>
                <w:i w:val="false"/>
                <w:sz w:val="22"/>
              </w:rPr>
              <w:t>1.88亿元</w:t>
            </w:r>
          </w:p>
        </w:tc>
        <w:tc>
          <w:tcPr>
            <w:tcW w:type="dxa" w:w="2448"/>
            <w:vAlign w:val="center"/>
          </w:tcPr>
          <w:p>
            <w:r>
              <w:rPr>
                <w:rFonts w:eastAsia="宋体" w:ascii="Times New Roman" w:hAnsi="Times New Roman" w:cs="Times New Roman"/>
                <w:b w:val="false"/>
                <w:i w:val="false"/>
                <w:sz w:val="22"/>
              </w:rPr>
              <w:t>-31.37%</w:t>
            </w:r>
          </w:p>
        </w:tc>
        <w:tc>
          <w:tcPr>
            <w:tcW w:type="dxa" w:w="2448"/>
            <w:vAlign w:val="center"/>
          </w:tcPr>
          <w:p>
            <w:r>
              <w:rPr>
                <w:rFonts w:eastAsia="宋体" w:ascii="Times New Roman" w:hAnsi="Times New Roman" w:cs="Times New Roman"/>
                <w:b w:val="false"/>
                <w:i w:val="false"/>
                <w:sz w:val="22"/>
              </w:rPr>
              <w:t>-7015万元</w:t>
            </w:r>
          </w:p>
        </w:tc>
        <w:tc>
          <w:tcPr>
            <w:tcW w:type="dxa" w:w="2448"/>
            <w:vAlign w:val="center"/>
          </w:tcPr>
          <w:p>
            <w:r>
              <w:rPr>
                <w:rFonts w:eastAsia="宋体" w:ascii="Times New Roman" w:hAnsi="Times New Roman" w:cs="Times New Roman"/>
                <w:b w:val="false"/>
                <w:i w:val="false"/>
                <w:sz w:val="22"/>
              </w:rPr>
              <w:t>-286.98%</w:t>
            </w:r>
          </w:p>
        </w:tc>
      </w:tr>
    </w:tbl>
    <w:p>
      <w:pPr>
        <w:spacing w:line="240" w:lineRule="auto" w:before="120" w:after="120"/>
        <w:ind w:firstLine="0"/>
        <w:jc w:val="left"/>
      </w:pPr>
      <w:r>
        <w:rPr>
          <w:rFonts w:eastAsia="宋体" w:ascii="Times New Roman" w:hAnsi="Times New Roman" w:cs="Times New Roman"/>
          <w:b w:val="false"/>
          <w:i w:val="true"/>
          <w:sz w:val="22"/>
        </w:rPr>
        <w:t>数据综合自2025-2026年定期报告</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[23]</w:t>
      </w:r>
    </w:p>
    <w:p>
      <w:pPr>
        <w:spacing w:line="240" w:lineRule="auto" w:before="120" w:after="120"/>
        <w:ind w:firstLine="0"/>
        <w:jc w:val="left"/>
      </w:pPr>
      <w:r>
        <w:rPr>
          <w:rFonts w:eastAsia="宋体" w:ascii="Times New Roman" w:hAnsi="Times New Roman" w:cs="Times New Roman"/>
          <w:b w:val="false"/>
          <w:i w:val="false"/>
          <w:sz w:val="22"/>
        </w:rPr>
        <w:t>现金流表现与利润背离：2025年经营活动现金流净额1.88亿元，虽同比下降31.37%，但显著高于全年归母净利润绝对值，体现销售回款能力与成本管控对运营现金流的支撑</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。但2026年一季度经营现金流净额恶化至-7014.74万元，同比减少5202.03万元，主要因经营活动现金流入减少与流出增加的综合影响</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rPr>
        <w:t>。研发投入维持高位，2025年研发费用1.84亿元占营收23.48%，但2026年一季度研发费用同比下降2.08%，反映投入强度阶段性调整</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2.2 现金流量与运营质量</w:t>
      </w:r>
    </w:p>
    <w:p>
      <w:pPr>
        <w:spacing w:line="240" w:lineRule="auto" w:before="120" w:after="120"/>
        <w:ind w:firstLine="0"/>
        <w:jc w:val="left"/>
      </w:pPr>
      <w:r>
        <w:rPr>
          <w:rFonts w:eastAsia="宋体" w:ascii="Times New Roman" w:hAnsi="Times New Roman" w:cs="Times New Roman"/>
          <w:b w:val="false"/>
          <w:i w:val="false"/>
          <w:sz w:val="22"/>
        </w:rPr>
        <w:t>在2025年度，华力创通经营活动产生的现金流量净额为1.88亿元，同比下降31.37%，主要源于销售商品、提供劳务收到的现金减少15.96%，同时购买商品、接受劳务支付的现金减少9.82%，反映出回款效率的下降</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。尽管该净额显著高于全年归母净利润绝对值（-6922.37万元），表明销售回款能力和成本管控对运营现金基础形成了一定支撑，但同比下滑幅度较大，提示资金周转压力增加</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。投资活动现金流净额同比改善25.72%，达-1.96亿元，主要因收回投资收到的现金增加30.72%，部分对冲了购建固定资产等支出的增长</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。筹资活动现金流净额则由负转正，同比增长121.85%至1236.18万元，主要得益于取得借款收到的现金增加</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2026年第一季度，公司现金流状况显著恶化。经营活动现金流净额骤降至-7014.74万元，同比大幅下降286.98%。具体表现为销售商品、提供劳务收到的现金从上年同期的15181.92万元减少至13315.38万元，而购买商品、接受劳务支付的现金则从10602.94万元增至13023.42万元，导致经营现金流缺口扩大</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。投资活动现金流净额同比改善86.63%，为-661.70万元，主要因收回投资收到的现金大幅增加至33152.46万元，且购买理财产品等流出减少</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。筹资活动现金流净额激增6137.53%至506.74万元，源于新增银行贷款542万元，缓解了短期资金压力，但债务规模有所上升</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运营质量方面，应收账款管理存在挑战。2025年末应收账款余额达3.83亿元，占流动资产比例31.33%，持续攀升的规模加大了资金占用风险</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。尽管长账龄应收款项催收取得成效，坏账准备转回增厚了利润，但若回款不及预期，可能再次触发减值计提</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[27]</w:t>
      </w:r>
      <w:r>
        <w:rPr>
          <w:rFonts w:eastAsia="宋体" w:ascii="Times New Roman" w:hAnsi="Times New Roman" w:cs="Times New Roman"/>
          <w:b w:val="false"/>
          <w:i w:val="false"/>
          <w:sz w:val="22"/>
        </w:rPr>
        <w:t>。存货余额在2026年一季度末为40855.12万元，同比下降1.15%，但绝对水平较高，库存周转效率仍有待提升</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。流动性指标显示，2026年一季度流动比率为1.76，速动比率为1.16，处于行业较低水平，反映短期偿债能力较弱</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现金流相关风险突出表现为三方面：一是经营现金流恶化加剧资金链压力，需警惕短期偿付能力风险</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；二是应收账款规模居高不下，潜在减值可能侵蚀利润</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；三是财务费用因汇兑损失和利息收入减少大幅上升，2026年一季度同比激增408.76%，凸显汇率与资金管理短板</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现金流指标</w:t>
            </w:r>
          </w:p>
        </w:tc>
        <w:tc>
          <w:tcPr>
            <w:tcW w:type="dxa" w:w="3060"/>
            <w:vAlign w:val="center"/>
          </w:tcPr>
          <w:p>
            <w:r>
              <w:rPr>
                <w:rFonts w:eastAsia="宋体" w:ascii="Times New Roman" w:hAnsi="Times New Roman" w:cs="Times New Roman"/>
                <w:b w:val="false"/>
                <w:i w:val="false"/>
                <w:sz w:val="22"/>
              </w:rPr>
              <w:t>2025年度（万元）</w:t>
            </w:r>
          </w:p>
        </w:tc>
        <w:tc>
          <w:tcPr>
            <w:tcW w:type="dxa" w:w="3060"/>
            <w:vAlign w:val="center"/>
          </w:tcPr>
          <w:p>
            <w:r>
              <w:rPr>
                <w:rFonts w:eastAsia="宋体" w:ascii="Times New Roman" w:hAnsi="Times New Roman" w:cs="Times New Roman"/>
                <w:b w:val="false"/>
                <w:i w:val="false"/>
                <w:sz w:val="22"/>
              </w:rPr>
              <w:t>2026年一季度（万元）</w:t>
            </w:r>
          </w:p>
        </w:tc>
        <w:tc>
          <w:tcPr>
            <w:tcW w:type="dxa" w:w="3060"/>
            <w:vAlign w:val="center"/>
          </w:tcPr>
          <w:p>
            <w:r>
              <w:rPr>
                <w:rFonts w:eastAsia="宋体" w:ascii="Times New Roman" w:hAnsi="Times New Roman" w:cs="Times New Roman"/>
                <w:b w:val="false"/>
                <w:i w:val="false"/>
                <w:sz w:val="22"/>
              </w:rPr>
              <w:t>同比变化</w:t>
            </w:r>
          </w:p>
        </w:tc>
      </w:tr>
      <w:tr>
        <w:tc>
          <w:tcPr>
            <w:tcW w:type="dxa" w:w="3060"/>
            <w:vAlign w:val="center"/>
          </w:tcPr>
          <w:p>
            <w:r>
              <w:rPr>
                <w:rFonts w:eastAsia="宋体" w:ascii="Times New Roman" w:hAnsi="Times New Roman" w:cs="Times New Roman"/>
                <w:b w:val="false"/>
                <w:i w:val="false"/>
                <w:sz w:val="22"/>
              </w:rPr>
              <w:t>经营活动现金流净额</w:t>
            </w:r>
          </w:p>
        </w:tc>
        <w:tc>
          <w:tcPr>
            <w:tcW w:type="dxa" w:w="3060"/>
            <w:vAlign w:val="center"/>
          </w:tcPr>
          <w:p>
            <w:r>
              <w:rPr>
                <w:rFonts w:eastAsia="宋体" w:ascii="Times New Roman" w:hAnsi="Times New Roman" w:cs="Times New Roman"/>
                <w:b w:val="false"/>
                <w:i w:val="false"/>
                <w:sz w:val="22"/>
              </w:rPr>
              <w:t>18,843.00</w:t>
            </w:r>
          </w:p>
        </w:tc>
        <w:tc>
          <w:tcPr>
            <w:tcW w:type="dxa" w:w="3060"/>
            <w:vAlign w:val="center"/>
          </w:tcPr>
          <w:p>
            <w:r>
              <w:rPr>
                <w:rFonts w:eastAsia="宋体" w:ascii="Times New Roman" w:hAnsi="Times New Roman" w:cs="Times New Roman"/>
                <w:b w:val="false"/>
                <w:i w:val="false"/>
                <w:sz w:val="22"/>
              </w:rPr>
              <w:t>-7,014.74</w:t>
            </w:r>
          </w:p>
        </w:tc>
        <w:tc>
          <w:tcPr>
            <w:tcW w:type="dxa" w:w="3060"/>
            <w:vAlign w:val="center"/>
          </w:tcPr>
          <w:p>
            <w:r>
              <w:rPr>
                <w:rFonts w:eastAsia="宋体" w:ascii="Times New Roman" w:hAnsi="Times New Roman" w:cs="Times New Roman"/>
                <w:b w:val="false"/>
                <w:i w:val="false"/>
                <w:sz w:val="22"/>
              </w:rPr>
              <w:t>-31.37% / -286.98%</w:t>
            </w:r>
          </w:p>
        </w:tc>
      </w:tr>
      <w:tr>
        <w:tc>
          <w:tcPr>
            <w:tcW w:type="dxa" w:w="3060"/>
            <w:vAlign w:val="center"/>
          </w:tcPr>
          <w:p>
            <w:r>
              <w:rPr>
                <w:rFonts w:eastAsia="宋体" w:ascii="Times New Roman" w:hAnsi="Times New Roman" w:cs="Times New Roman"/>
                <w:b w:val="false"/>
                <w:i w:val="false"/>
                <w:sz w:val="22"/>
              </w:rPr>
              <w:t>投资活动现金流净额</w:t>
            </w:r>
          </w:p>
        </w:tc>
        <w:tc>
          <w:tcPr>
            <w:tcW w:type="dxa" w:w="3060"/>
            <w:vAlign w:val="center"/>
          </w:tcPr>
          <w:p>
            <w:r>
              <w:rPr>
                <w:rFonts w:eastAsia="宋体" w:ascii="Times New Roman" w:hAnsi="Times New Roman" w:cs="Times New Roman"/>
                <w:b w:val="false"/>
                <w:i w:val="false"/>
                <w:sz w:val="22"/>
              </w:rPr>
              <w:t>-19,611.28</w:t>
            </w:r>
          </w:p>
        </w:tc>
        <w:tc>
          <w:tcPr>
            <w:tcW w:type="dxa" w:w="3060"/>
            <w:vAlign w:val="center"/>
          </w:tcPr>
          <w:p>
            <w:r>
              <w:rPr>
                <w:rFonts w:eastAsia="宋体" w:ascii="Times New Roman" w:hAnsi="Times New Roman" w:cs="Times New Roman"/>
                <w:b w:val="false"/>
                <w:i w:val="false"/>
                <w:sz w:val="22"/>
              </w:rPr>
              <w:t>-661.70</w:t>
            </w:r>
          </w:p>
        </w:tc>
        <w:tc>
          <w:tcPr>
            <w:tcW w:type="dxa" w:w="3060"/>
            <w:vAlign w:val="center"/>
          </w:tcPr>
          <w:p>
            <w:r>
              <w:rPr>
                <w:rFonts w:eastAsia="宋体" w:ascii="Times New Roman" w:hAnsi="Times New Roman" w:cs="Times New Roman"/>
                <w:b w:val="false"/>
                <w:i w:val="false"/>
                <w:sz w:val="22"/>
              </w:rPr>
              <w:t>25.72% / 86.63%</w:t>
            </w:r>
          </w:p>
        </w:tc>
      </w:tr>
      <w:tr>
        <w:tc>
          <w:tcPr>
            <w:tcW w:type="dxa" w:w="3060"/>
            <w:vAlign w:val="center"/>
          </w:tcPr>
          <w:p>
            <w:r>
              <w:rPr>
                <w:rFonts w:eastAsia="宋体" w:ascii="Times New Roman" w:hAnsi="Times New Roman" w:cs="Times New Roman"/>
                <w:b w:val="false"/>
                <w:i w:val="false"/>
                <w:sz w:val="22"/>
              </w:rPr>
              <w:t>筹资活动现金流净额</w:t>
            </w:r>
          </w:p>
        </w:tc>
        <w:tc>
          <w:tcPr>
            <w:tcW w:type="dxa" w:w="3060"/>
            <w:vAlign w:val="center"/>
          </w:tcPr>
          <w:p>
            <w:r>
              <w:rPr>
                <w:rFonts w:eastAsia="宋体" w:ascii="Times New Roman" w:hAnsi="Times New Roman" w:cs="Times New Roman"/>
                <w:b w:val="false"/>
                <w:i w:val="false"/>
                <w:sz w:val="22"/>
              </w:rPr>
              <w:t>1,236.18</w:t>
            </w:r>
          </w:p>
        </w:tc>
        <w:tc>
          <w:tcPr>
            <w:tcW w:type="dxa" w:w="3060"/>
            <w:vAlign w:val="center"/>
          </w:tcPr>
          <w:p>
            <w:r>
              <w:rPr>
                <w:rFonts w:eastAsia="宋体" w:ascii="Times New Roman" w:hAnsi="Times New Roman" w:cs="Times New Roman"/>
                <w:b w:val="false"/>
                <w:i w:val="false"/>
                <w:sz w:val="22"/>
              </w:rPr>
              <w:t>506.74</w:t>
            </w:r>
          </w:p>
        </w:tc>
        <w:tc>
          <w:tcPr>
            <w:tcW w:type="dxa" w:w="3060"/>
            <w:vAlign w:val="center"/>
          </w:tcPr>
          <w:p>
            <w:r>
              <w:rPr>
                <w:rFonts w:eastAsia="宋体" w:ascii="Times New Roman" w:hAnsi="Times New Roman" w:cs="Times New Roman"/>
                <w:b w:val="false"/>
                <w:i w:val="false"/>
                <w:sz w:val="22"/>
              </w:rPr>
              <w:t>121.85% / 6137.53%</w:t>
            </w:r>
          </w:p>
        </w:tc>
      </w:tr>
    </w:tbl>
    <w:p>
      <w:pPr>
        <w:spacing w:line="240" w:lineRule="auto" w:before="120" w:after="120"/>
        <w:ind w:firstLine="0"/>
        <w:jc w:val="left"/>
      </w:pPr>
      <w:r>
        <w:rPr>
          <w:rFonts w:eastAsia="宋体" w:ascii="Times New Roman" w:hAnsi="Times New Roman" w:cs="Times New Roman"/>
          <w:b w:val="false"/>
          <w:i w:val="false"/>
          <w:sz w:val="22"/>
        </w:rPr>
        <w:t>表格数据综合自公司2025年年报及2026年一季报披露信息</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2.3 资产结构与运营效率</w:t>
      </w:r>
    </w:p>
    <w:p>
      <w:pPr>
        <w:spacing w:line="240" w:lineRule="auto" w:before="120" w:after="120"/>
        <w:ind w:firstLine="0"/>
        <w:jc w:val="left"/>
      </w:pPr>
      <w:r>
        <w:rPr>
          <w:rFonts w:eastAsia="宋体" w:ascii="Times New Roman" w:hAnsi="Times New Roman" w:cs="Times New Roman"/>
          <w:b w:val="false"/>
          <w:i w:val="false"/>
          <w:sz w:val="22"/>
        </w:rPr>
        <w:t>在2025年末，华力创通总资产为24.02亿元，较上年末下降1.77%，归母净资产为15.29亿元，下降4.25%，反映出资产规模小幅收缩</w:t>
      </w:r>
      <w:r>
        <w:rPr>
          <w:rFonts w:eastAsia="宋体" w:ascii="Times New Roman" w:hAnsi="Times New Roman" w:cs="Times New Roman"/>
          <w:b w:val="false"/>
          <w:i w:val="false"/>
          <w:sz w:val="22"/>
          <w:vertAlign w:val="superscript"/>
        </w:rPr>
        <w:t>[29]</w:t>
      </w:r>
      <w:r>
        <w:rPr>
          <w:rFonts w:eastAsia="宋体" w:ascii="Times New Roman" w:hAnsi="Times New Roman" w:cs="Times New Roman"/>
          <w:b w:val="false"/>
          <w:i w:val="false"/>
          <w:sz w:val="22"/>
          <w:vertAlign w:val="superscript"/>
        </w:rPr>
        <w:t>[30]</w:t>
      </w:r>
      <w:r>
        <w:rPr>
          <w:rFonts w:eastAsia="宋体" w:ascii="Times New Roman" w:hAnsi="Times New Roman" w:cs="Times New Roman"/>
          <w:b w:val="false"/>
          <w:i w:val="false"/>
          <w:sz w:val="22"/>
        </w:rPr>
        <w:t>。资产构成中，存货账面价值为4.13亿元，占净资产的27.04%，较上年末减少1.9亿元，主要源于存货跌价准备为2272万元及存货减少31.52%，这降低了库存积压风险但库存压力仍存</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rPr>
        <w:t>。应收票据及应收账款余额为3.83亿元，较上年末增加12.64%，占流动资产比例达31.31%，显示应收账款规模持续攀升，资金占用压力加大</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。开发支出减少42.67%，无形资产增加17.7%，表明研发投入结构优化</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rPr>
        <w:t>。至2026年一季度末，总资产进一步降至23.49亿元，同比下降2.2%；归母净资产为15.17亿元，下降0.8%，资产质量整体保持稳定</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。货币资金减少29.01%，开发支出增加14.68%，预付款项增长20.35%，反映出公司对长期研发的侧重</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。负债端，应付票据及应付账款减少7.75%，短期借款增加12.78%，资产负债率维持在34.97%，高于行业平均34.25%，短期偿债能力偏弱</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运营效率方面，2026年一季度应收帐款周转率为2.03，同比增长78.58%，存货周转率为1.08，同比增长32.58%，总资产周转率为0.32，同比增长42.5%，显示周转效率显著提升</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rPr>
        <w:t>。这与管理层对长账龄应收账款的催收工作成效相关，应收账款余额在2026年3月末达42287.96万元，同比增长10.40%，但坏账准备转回减少了减值损失</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rPr>
        <w:t>。然而，2025年同期指标表现较弱：应收帐款周转率0.85（同比增长31.28%），存货周转率0.38（同比下降28.98%），总资产周转率0.14（同比下降9.45%），凸显季度改善趋势</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。偿债能力指标中，流动比率为1.76，速动比率为1.16，维持较低水平，短期偿债能力较弱</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。营运能力在同业中表现良好，2025年评分3.95，行业排名第14，反映内部管理优化如应收账款催收和存货管控的积极影响</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vertAlign w:val="superscript"/>
        </w:rPr>
        <w:t>[36]</w:t>
      </w:r>
      <w:r>
        <w:rPr>
          <w:rFonts w:eastAsia="宋体" w:ascii="Times New Roman" w:hAnsi="Times New Roman" w:cs="Times New Roman"/>
          <w:b w:val="false"/>
          <w:i w:val="false"/>
          <w:sz w:val="22"/>
        </w:rPr>
        <w:t>。存货余额在2026年一季度末为40855.12万元，同比下降1.15%，但存货/资产总额比值达23.56%，仍高于行业平均，周转效率需持续提升</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应收账款管理虽取得进展，长账龄应收款项稳步下降，但规模高位运行带来回款风险；若回款不及预期，可能触发再次计提减值</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。存货微降1.15%至40855.12万元，结合营收小幅增长，存货周转率0.25次，表明库存消化能力有待加强</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[37]</w:t>
      </w:r>
      <w:r>
        <w:rPr>
          <w:rFonts w:eastAsia="宋体" w:ascii="Times New Roman" w:hAnsi="Times New Roman" w:cs="Times New Roman"/>
          <w:b w:val="false"/>
          <w:i w:val="false"/>
          <w:sz w:val="22"/>
        </w:rPr>
        <w:t>。整体资产结构优化与运营效率提升支撑了经营质量改善，但应收账款和存货风险需持续监控。</w:t>
      </w:r>
    </w:p>
    <w:p>
      <w:pPr>
        <w:pStyle w:val="EM_H2_STYLE"/>
        <w:spacing w:line="240" w:lineRule="auto" w:before="120" w:after="120"/>
        <w:ind w:left="0"/>
        <w:jc w:val="left"/>
      </w:pPr>
      <w:r>
        <w:rPr>
          <w:rFonts w:eastAsia="宋体" w:ascii="宋体" w:hAnsi="宋体" w:cs="宋体"/>
          <w:b w:val="true"/>
          <w:i w:val="false"/>
          <w:sz w:val="28"/>
        </w:rPr>
        <w:t>2.4 研发投入与费用管控</w:t>
      </w:r>
    </w:p>
    <w:p>
      <w:pPr>
        <w:spacing w:line="240" w:lineRule="auto" w:before="120" w:after="120"/>
        <w:ind w:firstLine="0"/>
        <w:jc w:val="left"/>
      </w:pPr>
      <w:r>
        <w:rPr>
          <w:rFonts w:eastAsia="宋体" w:ascii="Times New Roman" w:hAnsi="Times New Roman" w:cs="Times New Roman"/>
          <w:b w:val="false"/>
          <w:i w:val="false"/>
          <w:sz w:val="22"/>
        </w:rPr>
        <w:t>华力创通2025年度研发投入总额达1.84亿元，尽管同比下降24.31%，但占营业收入比例仍维持在23.48%的高位，显示公司持续强化技术创新的战略导向</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。研发投入资本化率为61.66%，资本化金额为1.13亿元，与上年同期基本持平，反映出公司在核心项目上的资本配置效率</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。研发人员数量由415人精简至406人，同比减少2.17%，但研发人员占总员工比例提升至58.33%，同比上升1.87个百分点，表明公司在人员优化中提升单人产出效率</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学历结构方面，本科研发人员240人（同比增长0.84%），硕士98人（同比下降6.67%），专科62人（同比下降4.62%），博士6人（同比下降14.29%）；年龄分布以30-40岁为主（199人，同比增长4.19%），40-50岁90人（同比增长7.14%），50岁以上13人（同比增长8.23%），体现研发队伍在精简中向中青年骨干集中</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主要研发项目进展显著：“北斗+5G融合终端基带芯片研发及产业化项目”已结项；“高低轨融合卫星通信射频基带一体化芯片研制”项目完成功能验证并实现模组量产；“高亚音速大机动飞行器”有序推进；“抓捕无人机”项目建成并具备1-2km黑飞无人机探测与抓捕能力</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。过去五年研发投入复合增长率达5.60%，公司持续构建覆盖芯片、模块、终端到解决方案的全体系研发布局，在北斗导航和天通通信等领域保持技术优势</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费用管控方面，公司在营收同比增长42.91%的背景下优化支出结构。销售费用为2925.00万元，同比下降5.78%，销售费用率显著下降，支撑亏损收窄</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。管理费用为17052.32万元，同比增长5.50%，反映部分内部运营成本压力</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。财务费用剧增至204.73万元，同比大增1078.63%，主要源于利息收入减少（从22.78万元降至8.78万元）和汇兑损失增加（从汇兑收益52.73万元转为损失131.30万元），凸显资金管理及汇率风险挑战</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。期间费用总额为2.72亿元，同比减少836.19万元，期间费用率降至34.82%，同比下降16.48个百分点，体现整体费用管控成效</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2026年一季度费用结构进一步分化：销售费用同比增长29.00%至635.30万元，管理费用同比下降3.71%至4102.99万元，研发费用同比微降2.08%至1680.60万元，财务费用猛增408.76%至77.79万元，期间费用率为44.24%，同比下降2.99个百分点</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[40]</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false"/>
                <w:i w:val="false"/>
                <w:sz w:val="22"/>
              </w:rPr>
              <w:t>指标</w:t>
            </w:r>
          </w:p>
        </w:tc>
        <w:tc>
          <w:tcPr>
            <w:tcW w:type="dxa" w:w="2448"/>
            <w:vAlign w:val="center"/>
          </w:tcPr>
          <w:p>
            <w:r>
              <w:rPr>
                <w:rFonts w:eastAsia="宋体" w:ascii="Times New Roman" w:hAnsi="Times New Roman" w:cs="Times New Roman"/>
                <w:b w:val="false"/>
                <w:i w:val="false"/>
                <w:sz w:val="22"/>
              </w:rPr>
              <w:t>2025年值</w:t>
            </w:r>
          </w:p>
        </w:tc>
        <w:tc>
          <w:tcPr>
            <w:tcW w:type="dxa" w:w="2448"/>
            <w:vAlign w:val="center"/>
          </w:tcPr>
          <w:p>
            <w:r>
              <w:rPr>
                <w:rFonts w:eastAsia="宋体" w:ascii="Times New Roman" w:hAnsi="Times New Roman" w:cs="Times New Roman"/>
                <w:b w:val="false"/>
                <w:i w:val="false"/>
                <w:sz w:val="22"/>
              </w:rPr>
              <w:t>同比变化</w:t>
            </w:r>
          </w:p>
        </w:tc>
        <w:tc>
          <w:tcPr>
            <w:tcW w:type="dxa" w:w="2448"/>
            <w:vAlign w:val="center"/>
          </w:tcPr>
          <w:p>
            <w:r>
              <w:rPr>
                <w:rFonts w:eastAsia="宋体" w:ascii="Times New Roman" w:hAnsi="Times New Roman" w:cs="Times New Roman"/>
                <w:b w:val="false"/>
                <w:i w:val="false"/>
                <w:sz w:val="22"/>
              </w:rPr>
              <w:t>2026年一季度值</w:t>
            </w:r>
          </w:p>
        </w:tc>
        <w:tc>
          <w:tcPr>
            <w:tcW w:type="dxa" w:w="2448"/>
            <w:vAlign w:val="center"/>
          </w:tcPr>
          <w:p>
            <w:r>
              <w:rPr>
                <w:rFonts w:eastAsia="宋体" w:ascii="Times New Roman" w:hAnsi="Times New Roman" w:cs="Times New Roman"/>
                <w:b w:val="false"/>
                <w:i w:val="false"/>
                <w:sz w:val="22"/>
              </w:rPr>
              <w:t>同比变化</w:t>
            </w:r>
          </w:p>
        </w:tc>
      </w:tr>
      <w:tr>
        <w:tc>
          <w:tcPr>
            <w:tcW w:type="dxa" w:w="2448"/>
            <w:vAlign w:val="center"/>
          </w:tcPr>
          <w:p>
            <w:r>
              <w:rPr>
                <w:rFonts w:eastAsia="宋体" w:ascii="Times New Roman" w:hAnsi="Times New Roman" w:cs="Times New Roman"/>
                <w:b w:val="false"/>
                <w:i w:val="false"/>
                <w:sz w:val="22"/>
              </w:rPr>
              <w:t>研发投入总额</w:t>
            </w:r>
          </w:p>
        </w:tc>
        <w:tc>
          <w:tcPr>
            <w:tcW w:type="dxa" w:w="2448"/>
            <w:vAlign w:val="center"/>
          </w:tcPr>
          <w:p>
            <w:r>
              <w:rPr>
                <w:rFonts w:eastAsia="宋体" w:ascii="Times New Roman" w:hAnsi="Times New Roman" w:cs="Times New Roman"/>
                <w:b w:val="false"/>
                <w:i w:val="false"/>
                <w:sz w:val="22"/>
              </w:rPr>
              <w:t>1.84亿元</w:t>
            </w:r>
          </w:p>
        </w:tc>
        <w:tc>
          <w:tcPr>
            <w:tcW w:type="dxa" w:w="2448"/>
            <w:vAlign w:val="center"/>
          </w:tcPr>
          <w:p>
            <w:r>
              <w:rPr>
                <w:rFonts w:eastAsia="宋体" w:ascii="Times New Roman" w:hAnsi="Times New Roman" w:cs="Times New Roman"/>
                <w:b w:val="false"/>
                <w:i w:val="false"/>
                <w:sz w:val="22"/>
              </w:rPr>
              <w:t>-24.31%</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研发投入占比</w:t>
            </w:r>
          </w:p>
        </w:tc>
        <w:tc>
          <w:tcPr>
            <w:tcW w:type="dxa" w:w="2448"/>
            <w:vAlign w:val="center"/>
          </w:tcPr>
          <w:p>
            <w:r>
              <w:rPr>
                <w:rFonts w:eastAsia="宋体" w:ascii="Times New Roman" w:hAnsi="Times New Roman" w:cs="Times New Roman"/>
                <w:b w:val="false"/>
                <w:i w:val="false"/>
                <w:sz w:val="22"/>
              </w:rPr>
              <w:t>23.48%</w:t>
            </w:r>
          </w:p>
        </w:tc>
        <w:tc>
          <w:tcPr>
            <w:tcW w:type="dxa" w:w="2448"/>
            <w:vAlign w:val="center"/>
          </w:tcPr>
          <w:p>
            <w:r>
              <w:rPr>
                <w:rFonts w:eastAsia="宋体" w:ascii="Times New Roman" w:hAnsi="Times New Roman" w:cs="Times New Roman"/>
                <w:b w:val="false"/>
                <w:i w:val="false"/>
                <w:sz w:val="22"/>
              </w:rPr>
              <w:t>-20.86个百分点</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研发费用</w:t>
            </w:r>
          </w:p>
        </w:tc>
        <w:tc>
          <w:tcPr>
            <w:tcW w:type="dxa" w:w="2448"/>
            <w:vAlign w:val="center"/>
          </w:tcPr>
          <w:p>
            <w:r>
              <w:rPr>
                <w:rFonts w:eastAsia="宋体" w:ascii="Times New Roman" w:hAnsi="Times New Roman" w:cs="Times New Roman"/>
                <w:b w:val="false"/>
                <w:i w:val="false"/>
                <w:sz w:val="22"/>
              </w:rPr>
              <w:t>7035.77万元</w:t>
            </w:r>
          </w:p>
        </w:tc>
        <w:tc>
          <w:tcPr>
            <w:tcW w:type="dxa" w:w="2448"/>
            <w:vAlign w:val="center"/>
          </w:tcPr>
          <w:p>
            <w:r>
              <w:rPr>
                <w:rFonts w:eastAsia="宋体" w:ascii="Times New Roman" w:hAnsi="Times New Roman" w:cs="Times New Roman"/>
                <w:b w:val="false"/>
                <w:i w:val="false"/>
                <w:sz w:val="22"/>
              </w:rPr>
              <w:t>-20.12%</w:t>
            </w:r>
          </w:p>
        </w:tc>
        <w:tc>
          <w:tcPr>
            <w:tcW w:type="dxa" w:w="2448"/>
            <w:vAlign w:val="center"/>
          </w:tcPr>
          <w:p>
            <w:r>
              <w:rPr>
                <w:rFonts w:eastAsia="宋体" w:ascii="Times New Roman" w:hAnsi="Times New Roman" w:cs="Times New Roman"/>
                <w:b w:val="false"/>
                <w:i w:val="false"/>
                <w:sz w:val="22"/>
              </w:rPr>
              <w:t>1680.60万元</w:t>
            </w:r>
          </w:p>
        </w:tc>
        <w:tc>
          <w:tcPr>
            <w:tcW w:type="dxa" w:w="2448"/>
            <w:vAlign w:val="center"/>
          </w:tcPr>
          <w:p>
            <w:r>
              <w:rPr>
                <w:rFonts w:eastAsia="宋体" w:ascii="Times New Roman" w:hAnsi="Times New Roman" w:cs="Times New Roman"/>
                <w:b w:val="false"/>
                <w:i w:val="false"/>
                <w:sz w:val="22"/>
              </w:rPr>
              <w:t>-2.08%</w:t>
            </w:r>
          </w:p>
        </w:tc>
      </w:tr>
      <w:tr>
        <w:tc>
          <w:tcPr>
            <w:tcW w:type="dxa" w:w="2448"/>
            <w:vAlign w:val="center"/>
          </w:tcPr>
          <w:p>
            <w:r>
              <w:rPr>
                <w:rFonts w:eastAsia="宋体" w:ascii="Times New Roman" w:hAnsi="Times New Roman" w:cs="Times New Roman"/>
                <w:b w:val="false"/>
                <w:i w:val="false"/>
                <w:sz w:val="22"/>
              </w:rPr>
              <w:t>研发人员数量</w:t>
            </w:r>
          </w:p>
        </w:tc>
        <w:tc>
          <w:tcPr>
            <w:tcW w:type="dxa" w:w="2448"/>
            <w:vAlign w:val="center"/>
          </w:tcPr>
          <w:p>
            <w:r>
              <w:rPr>
                <w:rFonts w:eastAsia="宋体" w:ascii="Times New Roman" w:hAnsi="Times New Roman" w:cs="Times New Roman"/>
                <w:b w:val="false"/>
                <w:i w:val="false"/>
                <w:sz w:val="22"/>
              </w:rPr>
              <w:t>406人</w:t>
            </w:r>
          </w:p>
        </w:tc>
        <w:tc>
          <w:tcPr>
            <w:tcW w:type="dxa" w:w="2448"/>
            <w:vAlign w:val="center"/>
          </w:tcPr>
          <w:p>
            <w:r>
              <w:rPr>
                <w:rFonts w:eastAsia="宋体" w:ascii="Times New Roman" w:hAnsi="Times New Roman" w:cs="Times New Roman"/>
                <w:b w:val="false"/>
                <w:i w:val="false"/>
                <w:sz w:val="22"/>
              </w:rPr>
              <w:t>-2.17%</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研发人员占比</w:t>
            </w:r>
          </w:p>
        </w:tc>
        <w:tc>
          <w:tcPr>
            <w:tcW w:type="dxa" w:w="2448"/>
            <w:vAlign w:val="center"/>
          </w:tcPr>
          <w:p>
            <w:r>
              <w:rPr>
                <w:rFonts w:eastAsia="宋体" w:ascii="Times New Roman" w:hAnsi="Times New Roman" w:cs="Times New Roman"/>
                <w:b w:val="false"/>
                <w:i w:val="false"/>
                <w:sz w:val="22"/>
              </w:rPr>
              <w:t>58.33%</w:t>
            </w:r>
          </w:p>
        </w:tc>
        <w:tc>
          <w:tcPr>
            <w:tcW w:type="dxa" w:w="2448"/>
            <w:vAlign w:val="center"/>
          </w:tcPr>
          <w:p>
            <w:r>
              <w:rPr>
                <w:rFonts w:eastAsia="宋体" w:ascii="Times New Roman" w:hAnsi="Times New Roman" w:cs="Times New Roman"/>
                <w:b w:val="false"/>
                <w:i w:val="false"/>
                <w:sz w:val="22"/>
              </w:rPr>
              <w:t>+1.87个百分点</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销售费用</w:t>
            </w:r>
          </w:p>
        </w:tc>
        <w:tc>
          <w:tcPr>
            <w:tcW w:type="dxa" w:w="2448"/>
            <w:vAlign w:val="center"/>
          </w:tcPr>
          <w:p>
            <w:r>
              <w:rPr>
                <w:rFonts w:eastAsia="宋体" w:ascii="Times New Roman" w:hAnsi="Times New Roman" w:cs="Times New Roman"/>
                <w:b w:val="false"/>
                <w:i w:val="false"/>
                <w:sz w:val="22"/>
              </w:rPr>
              <w:t>2925.00万元</w:t>
            </w:r>
          </w:p>
        </w:tc>
        <w:tc>
          <w:tcPr>
            <w:tcW w:type="dxa" w:w="2448"/>
            <w:vAlign w:val="center"/>
          </w:tcPr>
          <w:p>
            <w:r>
              <w:rPr>
                <w:rFonts w:eastAsia="宋体" w:ascii="Times New Roman" w:hAnsi="Times New Roman" w:cs="Times New Roman"/>
                <w:b w:val="false"/>
                <w:i w:val="false"/>
                <w:sz w:val="22"/>
              </w:rPr>
              <w:t>-5.78%</w:t>
            </w:r>
          </w:p>
        </w:tc>
        <w:tc>
          <w:tcPr>
            <w:tcW w:type="dxa" w:w="2448"/>
            <w:vAlign w:val="center"/>
          </w:tcPr>
          <w:p>
            <w:r>
              <w:rPr>
                <w:rFonts w:eastAsia="宋体" w:ascii="Times New Roman" w:hAnsi="Times New Roman" w:cs="Times New Roman"/>
                <w:b w:val="false"/>
                <w:i w:val="false"/>
                <w:sz w:val="22"/>
              </w:rPr>
              <w:t>635.30万元</w:t>
            </w:r>
          </w:p>
        </w:tc>
        <w:tc>
          <w:tcPr>
            <w:tcW w:type="dxa" w:w="2448"/>
            <w:vAlign w:val="center"/>
          </w:tcPr>
          <w:p>
            <w:r>
              <w:rPr>
                <w:rFonts w:eastAsia="宋体" w:ascii="Times New Roman" w:hAnsi="Times New Roman" w:cs="Times New Roman"/>
                <w:b w:val="false"/>
                <w:i w:val="false"/>
                <w:sz w:val="22"/>
              </w:rPr>
              <w:t>+29.00%</w:t>
            </w:r>
          </w:p>
        </w:tc>
      </w:tr>
      <w:tr>
        <w:tc>
          <w:tcPr>
            <w:tcW w:type="dxa" w:w="2448"/>
            <w:vAlign w:val="center"/>
          </w:tcPr>
          <w:p>
            <w:r>
              <w:rPr>
                <w:rFonts w:eastAsia="宋体" w:ascii="Times New Roman" w:hAnsi="Times New Roman" w:cs="Times New Roman"/>
                <w:b w:val="false"/>
                <w:i w:val="false"/>
                <w:sz w:val="22"/>
              </w:rPr>
              <w:t>管理费用</w:t>
            </w:r>
          </w:p>
        </w:tc>
        <w:tc>
          <w:tcPr>
            <w:tcW w:type="dxa" w:w="2448"/>
            <w:vAlign w:val="center"/>
          </w:tcPr>
          <w:p>
            <w:r>
              <w:rPr>
                <w:rFonts w:eastAsia="宋体" w:ascii="Times New Roman" w:hAnsi="Times New Roman" w:cs="Times New Roman"/>
                <w:b w:val="false"/>
                <w:i w:val="false"/>
                <w:sz w:val="22"/>
              </w:rPr>
              <w:t>17052.32万元</w:t>
            </w:r>
          </w:p>
        </w:tc>
        <w:tc>
          <w:tcPr>
            <w:tcW w:type="dxa" w:w="2448"/>
            <w:vAlign w:val="center"/>
          </w:tcPr>
          <w:p>
            <w:r>
              <w:rPr>
                <w:rFonts w:eastAsia="宋体" w:ascii="Times New Roman" w:hAnsi="Times New Roman" w:cs="Times New Roman"/>
                <w:b w:val="false"/>
                <w:i w:val="false"/>
                <w:sz w:val="22"/>
              </w:rPr>
              <w:t>+5.50%</w:t>
            </w:r>
          </w:p>
        </w:tc>
        <w:tc>
          <w:tcPr>
            <w:tcW w:type="dxa" w:w="2448"/>
            <w:vAlign w:val="center"/>
          </w:tcPr>
          <w:p>
            <w:r>
              <w:rPr>
                <w:rFonts w:eastAsia="宋体" w:ascii="Times New Roman" w:hAnsi="Times New Roman" w:cs="Times New Roman"/>
                <w:b w:val="false"/>
                <w:i w:val="false"/>
                <w:sz w:val="22"/>
              </w:rPr>
              <w:t>4102.99万元</w:t>
            </w:r>
          </w:p>
        </w:tc>
        <w:tc>
          <w:tcPr>
            <w:tcW w:type="dxa" w:w="2448"/>
            <w:vAlign w:val="center"/>
          </w:tcPr>
          <w:p>
            <w:r>
              <w:rPr>
                <w:rFonts w:eastAsia="宋体" w:ascii="Times New Roman" w:hAnsi="Times New Roman" w:cs="Times New Roman"/>
                <w:b w:val="false"/>
                <w:i w:val="false"/>
                <w:sz w:val="22"/>
              </w:rPr>
              <w:t>-3.71%</w:t>
            </w:r>
          </w:p>
        </w:tc>
      </w:tr>
      <w:tr>
        <w:tc>
          <w:tcPr>
            <w:tcW w:type="dxa" w:w="2448"/>
            <w:vAlign w:val="center"/>
          </w:tcPr>
          <w:p>
            <w:r>
              <w:rPr>
                <w:rFonts w:eastAsia="宋体" w:ascii="Times New Roman" w:hAnsi="Times New Roman" w:cs="Times New Roman"/>
                <w:b w:val="false"/>
                <w:i w:val="false"/>
                <w:sz w:val="22"/>
              </w:rPr>
              <w:t>财务费用</w:t>
            </w:r>
          </w:p>
        </w:tc>
        <w:tc>
          <w:tcPr>
            <w:tcW w:type="dxa" w:w="2448"/>
            <w:vAlign w:val="center"/>
          </w:tcPr>
          <w:p>
            <w:r>
              <w:rPr>
                <w:rFonts w:eastAsia="宋体" w:ascii="Times New Roman" w:hAnsi="Times New Roman" w:cs="Times New Roman"/>
                <w:b w:val="false"/>
                <w:i w:val="false"/>
                <w:sz w:val="22"/>
              </w:rPr>
              <w:t>204.73万元</w:t>
            </w:r>
          </w:p>
        </w:tc>
        <w:tc>
          <w:tcPr>
            <w:tcW w:type="dxa" w:w="2448"/>
            <w:vAlign w:val="center"/>
          </w:tcPr>
          <w:p>
            <w:r>
              <w:rPr>
                <w:rFonts w:eastAsia="宋体" w:ascii="Times New Roman" w:hAnsi="Times New Roman" w:cs="Times New Roman"/>
                <w:b w:val="false"/>
                <w:i w:val="false"/>
                <w:sz w:val="22"/>
              </w:rPr>
              <w:t>+1078.63%</w:t>
            </w:r>
          </w:p>
        </w:tc>
        <w:tc>
          <w:tcPr>
            <w:tcW w:type="dxa" w:w="2448"/>
            <w:vAlign w:val="center"/>
          </w:tcPr>
          <w:p>
            <w:r>
              <w:rPr>
                <w:rFonts w:eastAsia="宋体" w:ascii="Times New Roman" w:hAnsi="Times New Roman" w:cs="Times New Roman"/>
                <w:b w:val="false"/>
                <w:i w:val="false"/>
                <w:sz w:val="22"/>
              </w:rPr>
              <w:t>77.79万元</w:t>
            </w:r>
          </w:p>
        </w:tc>
        <w:tc>
          <w:tcPr>
            <w:tcW w:type="dxa" w:w="2448"/>
            <w:vAlign w:val="center"/>
          </w:tcPr>
          <w:p>
            <w:r>
              <w:rPr>
                <w:rFonts w:eastAsia="宋体" w:ascii="Times New Roman" w:hAnsi="Times New Roman" w:cs="Times New Roman"/>
                <w:b w:val="false"/>
                <w:i w:val="false"/>
                <w:sz w:val="22"/>
              </w:rPr>
              <w:t>+408.76%</w:t>
            </w:r>
          </w:p>
        </w:tc>
      </w:tr>
      <w:tr>
        <w:tc>
          <w:tcPr>
            <w:tcW w:type="dxa" w:w="2448"/>
            <w:vAlign w:val="center"/>
          </w:tcPr>
          <w:p>
            <w:r>
              <w:rPr>
                <w:rFonts w:eastAsia="宋体" w:ascii="Times New Roman" w:hAnsi="Times New Roman" w:cs="Times New Roman"/>
                <w:b w:val="false"/>
                <w:i w:val="false"/>
                <w:sz w:val="22"/>
              </w:rPr>
              <w:t>期间费用率</w:t>
            </w:r>
          </w:p>
        </w:tc>
        <w:tc>
          <w:tcPr>
            <w:tcW w:type="dxa" w:w="2448"/>
            <w:vAlign w:val="center"/>
          </w:tcPr>
          <w:p>
            <w:r>
              <w:rPr>
                <w:rFonts w:eastAsia="宋体" w:ascii="Times New Roman" w:hAnsi="Times New Roman" w:cs="Times New Roman"/>
                <w:b w:val="false"/>
                <w:i w:val="false"/>
                <w:sz w:val="22"/>
              </w:rPr>
              <w:t>34.82%</w:t>
            </w:r>
          </w:p>
        </w:tc>
        <w:tc>
          <w:tcPr>
            <w:tcW w:type="dxa" w:w="2448"/>
            <w:vAlign w:val="center"/>
          </w:tcPr>
          <w:p>
            <w:r>
              <w:rPr>
                <w:rFonts w:eastAsia="宋体" w:ascii="Times New Roman" w:hAnsi="Times New Roman" w:cs="Times New Roman"/>
                <w:b w:val="false"/>
                <w:i w:val="false"/>
                <w:sz w:val="22"/>
              </w:rPr>
              <w:t>-16.48个百分点</w:t>
            </w:r>
          </w:p>
        </w:tc>
        <w:tc>
          <w:tcPr>
            <w:tcW w:type="dxa" w:w="2448"/>
            <w:vAlign w:val="center"/>
          </w:tcPr>
          <w:p>
            <w:r>
              <w:rPr>
                <w:rFonts w:eastAsia="宋体" w:ascii="Times New Roman" w:hAnsi="Times New Roman" w:cs="Times New Roman"/>
                <w:b w:val="false"/>
                <w:i w:val="false"/>
                <w:sz w:val="22"/>
              </w:rPr>
              <w:t>44.24%</w:t>
            </w:r>
          </w:p>
        </w:tc>
        <w:tc>
          <w:tcPr>
            <w:tcW w:type="dxa" w:w="2448"/>
            <w:vAlign w:val="center"/>
          </w:tcPr>
          <w:p>
            <w:r>
              <w:rPr>
                <w:rFonts w:eastAsia="宋体" w:ascii="Times New Roman" w:hAnsi="Times New Roman" w:cs="Times New Roman"/>
                <w:b w:val="false"/>
                <w:i w:val="false"/>
                <w:sz w:val="22"/>
              </w:rPr>
              <w:t>-2.99个百分点</w:t>
            </w:r>
          </w:p>
        </w:tc>
      </w:tr>
    </w:tbl>
    <w:p>
      <w:pPr>
        <w:spacing w:line="240" w:lineRule="auto" w:before="120" w:after="120"/>
        <w:ind w:firstLine="0"/>
        <w:jc w:val="left"/>
      </w:pPr>
      <w:r>
        <w:rPr>
          <w:rFonts w:eastAsia="宋体" w:ascii="Times New Roman" w:hAnsi="Times New Roman" w:cs="Times New Roman"/>
          <w:b w:val="false"/>
          <w:i w:val="false"/>
          <w:sz w:val="22"/>
        </w:rPr>
        <w:t>表格数据综合自华力创通2025年年报及2026年一季报披露信息</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。公司研发材料费同比下降48.66%至1810.40万元，测试化验加工费下降59.24%至232.22万元，是研发费用下降的主因</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。应收账款规模攀升加剧资金占用风险，管理层通过强化催收工作改善经营质量，但财务费用激增提示需加强现金流全周期管理</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[27]</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3. 业务发展动态</w:t>
      </w:r>
    </w:p>
    <w:p>
      <w:pPr>
        <w:pStyle w:val="EM_H2_STYLE"/>
        <w:spacing w:line="240" w:lineRule="auto" w:before="120" w:after="120"/>
        <w:ind w:left="0"/>
        <w:jc w:val="left"/>
      </w:pPr>
      <w:r>
        <w:rPr>
          <w:rFonts w:eastAsia="宋体" w:ascii="宋体" w:hAnsi="宋体" w:cs="宋体"/>
          <w:b w:val="true"/>
          <w:i w:val="false"/>
          <w:sz w:val="28"/>
        </w:rPr>
        <w:t>3.1 卫星应用业务进展</w:t>
      </w:r>
    </w:p>
    <w:p>
      <w:pPr>
        <w:spacing w:line="240" w:lineRule="auto" w:before="120" w:after="120"/>
        <w:ind w:firstLine="0"/>
        <w:jc w:val="left"/>
      </w:pPr>
      <w:r>
        <w:rPr>
          <w:rFonts w:eastAsia="宋体" w:ascii="Times New Roman" w:hAnsi="Times New Roman" w:cs="Times New Roman"/>
          <w:b w:val="false"/>
          <w:i w:val="false"/>
          <w:sz w:val="22"/>
        </w:rPr>
        <w:t>卫星应用业务已成为华力创通的核心增长引擎，2025年实现收入3.67亿元，同比大幅增长48.72%，占总营收比重升至46.95%，首次超越其他业务板块成为公司第一大收入来源</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。该业务的爆发式增长主要源于北斗三号装备规模化交付及低轨卫星领域的技术突破，2025年第三季度北斗三号装备实现大规模批量交付，标志着公司在该市场进入规模化放量阶段</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在技术布局方面，公司构建了完整的“芯片-模组-终端-解决方案”产业链体系</w:t>
      </w:r>
      <w:r>
        <w:rPr>
          <w:rFonts w:eastAsia="宋体" w:ascii="Times New Roman" w:hAnsi="Times New Roman" w:cs="Times New Roman"/>
          <w:b w:val="false"/>
          <w:i w:val="false"/>
          <w:sz w:val="22"/>
          <w:vertAlign w:val="superscript"/>
        </w:rPr>
        <w:t>[42]</w:t>
      </w:r>
      <w:r>
        <w:rPr>
          <w:rFonts w:eastAsia="宋体" w:ascii="Times New Roman" w:hAnsi="Times New Roman" w:cs="Times New Roman"/>
          <w:b w:val="false"/>
          <w:i w:val="false"/>
          <w:sz w:val="22"/>
          <w:vertAlign w:val="superscript"/>
        </w:rPr>
        <w:t>[43]</w:t>
      </w:r>
      <w:r>
        <w:rPr>
          <w:rFonts w:eastAsia="宋体" w:ascii="Times New Roman" w:hAnsi="Times New Roman" w:cs="Times New Roman"/>
          <w:b w:val="false"/>
          <w:i w:val="false"/>
          <w:sz w:val="22"/>
        </w:rPr>
        <w:t>，拥有近百项卫星通信相关专利</w:t>
      </w:r>
      <w:r>
        <w:rPr>
          <w:rFonts w:eastAsia="宋体" w:ascii="Times New Roman" w:hAnsi="Times New Roman" w:cs="Times New Roman"/>
          <w:b w:val="false"/>
          <w:i w:val="false"/>
          <w:sz w:val="22"/>
          <w:vertAlign w:val="superscript"/>
        </w:rPr>
        <w:t>[44]</w:t>
      </w:r>
      <w:r>
        <w:rPr>
          <w:rFonts w:eastAsia="宋体" w:ascii="Times New Roman" w:hAnsi="Times New Roman" w:cs="Times New Roman"/>
          <w:b w:val="false"/>
          <w:i w:val="false"/>
          <w:sz w:val="22"/>
        </w:rPr>
        <w:t>。其核心技术优势体现在：</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通导一体技术</w:t>
      </w:r>
      <w:r>
        <w:rPr>
          <w:rFonts w:eastAsia="宋体" w:ascii="Times New Roman" w:hAnsi="Times New Roman" w:cs="Times New Roman"/>
          <w:b w:val="false"/>
          <w:i w:val="false"/>
          <w:sz w:val="22"/>
        </w:rPr>
        <w:t>：在国内率先实现卫星通信与导航技术融合，成功研制支持天通卫星移动通信的SOC架构基带芯片，具备低功耗、高集成度特性，并完成与北斗定位的一体化设计</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抗辐照能力</w:t>
      </w:r>
      <w:r>
        <w:rPr>
          <w:rFonts w:eastAsia="宋体" w:ascii="Times New Roman" w:hAnsi="Times New Roman" w:cs="Times New Roman"/>
          <w:b w:val="false"/>
          <w:i w:val="false"/>
          <w:sz w:val="22"/>
        </w:rPr>
        <w:t>：针对低轨卫星环境开发的抗辐照模组技术，为星载计算处理设备提供关键支撑</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多模通信芯片</w:t>
      </w:r>
      <w:r>
        <w:rPr>
          <w:rFonts w:eastAsia="宋体" w:ascii="Times New Roman" w:hAnsi="Times New Roman" w:cs="Times New Roman"/>
          <w:b w:val="false"/>
          <w:i w:val="false"/>
          <w:sz w:val="22"/>
        </w:rPr>
        <w:t>：正在推进多模卫星通信SOC芯片研制，可兼容多种通信协议，适应天地一体化网络需求</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市场应用拓展呈现多元化趋势：</w:t>
      </w:r>
    </w:p>
    <w:p>
      <w:pPr>
        <w:numPr>
          <w:ilvl w:val="0"/>
          <w:numId w:val="1"/>
        </w:numPr>
        <w:spacing w:line="240" w:lineRule="auto" w:before="120" w:after="120"/>
        <w:jc w:val="left"/>
      </w:pPr>
      <w:r>
        <w:rPr>
          <w:rFonts w:eastAsia="宋体" w:ascii="Times New Roman" w:hAnsi="Times New Roman" w:cs="Times New Roman"/>
          <w:b w:val="true"/>
          <w:i w:val="false"/>
          <w:sz w:val="22"/>
        </w:rPr>
        <w:t>特种领域</w:t>
      </w:r>
      <w:r>
        <w:rPr>
          <w:rFonts w:eastAsia="宋体" w:ascii="Times New Roman" w:hAnsi="Times New Roman" w:cs="Times New Roman"/>
          <w:b w:val="false"/>
          <w:i w:val="false"/>
          <w:sz w:val="22"/>
        </w:rPr>
        <w:t>：多型号北斗三号车载终端完成定型，其中两型产品实现小批量生产与交付</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民用车载</w:t>
      </w:r>
      <w:r>
        <w:rPr>
          <w:rFonts w:eastAsia="宋体" w:ascii="Times New Roman" w:hAnsi="Times New Roman" w:cs="Times New Roman"/>
          <w:b w:val="false"/>
          <w:i w:val="false"/>
          <w:sz w:val="22"/>
        </w:rPr>
        <w:t>：通用卫星通信车载产品进入试用阶段，正与车企开展需求适配</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消费电子</w:t>
      </w:r>
      <w:r>
        <w:rPr>
          <w:rFonts w:eastAsia="宋体" w:ascii="Times New Roman" w:hAnsi="Times New Roman" w:cs="Times New Roman"/>
          <w:b w:val="false"/>
          <w:i w:val="false"/>
          <w:sz w:val="22"/>
        </w:rPr>
        <w:t>：消费级卫星通信基带芯片已应用于终端设备，积极对接手机厂商拓展手机直连卫星市场</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低空经济</w:t>
      </w:r>
      <w:r>
        <w:rPr>
          <w:rFonts w:eastAsia="宋体" w:ascii="Times New Roman" w:hAnsi="Times New Roman" w:cs="Times New Roman"/>
          <w:b w:val="false"/>
          <w:i w:val="false"/>
          <w:sz w:val="22"/>
        </w:rPr>
        <w:t>：响应新国标开发的电动自行车北斗终端芯片完成样机开发，进入厂商适配测试阶段</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在低轨卫星战略布局上，公司深度参与国内低轨卫星通信协议和行业标准论证</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，并规划了三阶段发展路径：1）预研阶段完成技术储备；2）推进星载计算处理设备和多模芯片研制；3）结合星座建设进度优化产品方案</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。随着商业航天政策推进及低轨卫星互联网组网加速，该业务有望成为未来增长的核心驱动力</w:t>
      </w:r>
      <w:r>
        <w:rPr>
          <w:rFonts w:eastAsia="宋体" w:ascii="Times New Roman" w:hAnsi="Times New Roman" w:cs="Times New Roman"/>
          <w:b w:val="false"/>
          <w:i w:val="false"/>
          <w:sz w:val="22"/>
          <w:vertAlign w:val="superscript"/>
        </w:rPr>
        <w:t>[42]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表：2025年卫星应用业务关键财务指标</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指标</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数值</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同比变化</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营收占比</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业务收入</w:t>
            </w:r>
          </w:p>
        </w:tc>
        <w:tc>
          <w:tcPr>
            <w:tcW w:type="dxa" w:w="3060"/>
            <w:vAlign w:val="center"/>
          </w:tcPr>
          <w:p>
            <w:r>
              <w:rPr>
                <w:rFonts w:eastAsia="宋体" w:ascii="Times New Roman" w:hAnsi="Times New Roman" w:cs="Times New Roman"/>
                <w:b w:val="false"/>
                <w:i w:val="false"/>
                <w:sz w:val="22"/>
              </w:rPr>
              <w:t>3.67亿元</w:t>
            </w:r>
          </w:p>
        </w:tc>
        <w:tc>
          <w:tcPr>
            <w:tcW w:type="dxa" w:w="3060"/>
            <w:vAlign w:val="center"/>
          </w:tcPr>
          <w:p>
            <w:r>
              <w:rPr>
                <w:rFonts w:eastAsia="宋体" w:ascii="Times New Roman" w:hAnsi="Times New Roman" w:cs="Times New Roman"/>
                <w:b w:val="false"/>
                <w:i w:val="false"/>
                <w:sz w:val="22"/>
              </w:rPr>
              <w:t>+48.72%</w:t>
            </w:r>
          </w:p>
        </w:tc>
        <w:tc>
          <w:tcPr>
            <w:tcW w:type="dxa" w:w="3060"/>
            <w:vAlign w:val="center"/>
          </w:tcPr>
          <w:p>
            <w:r>
              <w:rPr>
                <w:rFonts w:eastAsia="宋体" w:ascii="Times New Roman" w:hAnsi="Times New Roman" w:cs="Times New Roman"/>
                <w:b w:val="false"/>
                <w:i w:val="false"/>
                <w:sz w:val="22"/>
              </w:rPr>
              <w:t>46.95%</w:t>
            </w:r>
          </w:p>
        </w:tc>
      </w:tr>
      <w:tr>
        <w:tc>
          <w:tcPr>
            <w:tcW w:type="dxa" w:w="3060"/>
            <w:vAlign w:val="center"/>
          </w:tcPr>
          <w:p>
            <w:r>
              <w:rPr>
                <w:rFonts w:eastAsia="宋体" w:ascii="Times New Roman" w:hAnsi="Times New Roman" w:cs="Times New Roman"/>
                <w:b w:val="false"/>
                <w:i w:val="false"/>
                <w:sz w:val="22"/>
              </w:rPr>
              <w:t>毛利率</w:t>
            </w:r>
          </w:p>
        </w:tc>
        <w:tc>
          <w:tcPr>
            <w:tcW w:type="dxa" w:w="3060"/>
            <w:vAlign w:val="center"/>
          </w:tcPr>
          <w:p>
            <w:r>
              <w:rPr>
                <w:rFonts w:eastAsia="宋体" w:ascii="Times New Roman" w:hAnsi="Times New Roman" w:cs="Times New Roman"/>
                <w:b w:val="false"/>
                <w:i w:val="false"/>
                <w:sz w:val="22"/>
              </w:rPr>
              <w:t>34.61%</w:t>
            </w:r>
          </w:p>
        </w:tc>
        <w:tc>
          <w:tcPr>
            <w:tcW w:type="dxa" w:w="3060"/>
            <w:vAlign w:val="center"/>
          </w:tcPr>
          <w:p>
            <w:r>
              <w:rPr>
                <w:rFonts w:eastAsia="宋体" w:ascii="Times New Roman" w:hAnsi="Times New Roman" w:cs="Times New Roman"/>
                <w:b w:val="false"/>
                <w:i w:val="false"/>
                <w:sz w:val="22"/>
              </w:rPr>
              <w:t>-</w:t>
            </w:r>
          </w:p>
        </w:tc>
        <w:tc>
          <w:tcPr>
            <w:tcW w:type="dxa" w:w="3060"/>
            <w:vAlign w:val="center"/>
          </w:tcPr>
          <w:p>
            <w:r>
              <w:rPr>
                <w:rFonts w:eastAsia="宋体" w:ascii="Times New Roman" w:hAnsi="Times New Roman" w:cs="Times New Roman"/>
                <w:b w:val="false"/>
                <w:i w:val="false"/>
                <w:sz w:val="22"/>
              </w:rPr>
              <w:t>-</w:t>
            </w:r>
          </w:p>
        </w:tc>
      </w:tr>
      <w:tr>
        <w:tc>
          <w:tcPr>
            <w:tcW w:type="dxa" w:w="3060"/>
            <w:vAlign w:val="center"/>
          </w:tcPr>
          <w:p>
            <w:r>
              <w:rPr>
                <w:rFonts w:eastAsia="宋体" w:ascii="Times New Roman" w:hAnsi="Times New Roman" w:cs="Times New Roman"/>
                <w:b w:val="false"/>
                <w:i w:val="false"/>
                <w:sz w:val="22"/>
              </w:rPr>
              <w:t>交付节奏</w:t>
            </w:r>
          </w:p>
        </w:tc>
        <w:tc>
          <w:tcPr>
            <w:tcW w:type="dxa" w:w="3060"/>
            <w:vAlign w:val="center"/>
          </w:tcPr>
          <w:p>
            <w:r>
              <w:rPr>
                <w:rFonts w:eastAsia="宋体" w:ascii="Times New Roman" w:hAnsi="Times New Roman" w:cs="Times New Roman"/>
                <w:b w:val="false"/>
                <w:i w:val="false"/>
                <w:sz w:val="22"/>
              </w:rPr>
              <w:t>Q4集中交付</w:t>
            </w:r>
          </w:p>
        </w:tc>
        <w:tc>
          <w:tcPr>
            <w:tcW w:type="dxa" w:w="3060"/>
            <w:vAlign w:val="center"/>
          </w:tcPr>
          <w:p>
            <w:r>
              <w:rPr>
                <w:rFonts w:eastAsia="宋体" w:ascii="Times New Roman" w:hAnsi="Times New Roman" w:cs="Times New Roman"/>
                <w:b w:val="false"/>
                <w:i w:val="false"/>
                <w:sz w:val="22"/>
              </w:rPr>
              <w:t>当季亏损扩大至7482万元</w:t>
            </w:r>
          </w:p>
        </w:tc>
        <w:tc>
          <w:tcPr>
            <w:tcW w:type="dxa" w:w="3060"/>
            <w:vAlign w:val="center"/>
          </w:tcPr>
          <w:p>
            <w:r>
              <w:rPr>
                <w:rFonts w:eastAsia="宋体" w:ascii="Times New Roman" w:hAnsi="Times New Roman" w:cs="Times New Roman"/>
                <w:b w:val="false"/>
                <w:i w:val="false"/>
                <w:sz w:val="22"/>
              </w:rPr>
              <w:t>-</w:t>
            </w:r>
          </w:p>
        </w:tc>
      </w:tr>
    </w:tbl>
    <w:p>
      <w:pPr>
        <w:spacing w:line="240" w:lineRule="auto" w:before="120" w:after="120"/>
        <w:ind w:firstLine="0"/>
        <w:jc w:val="left"/>
      </w:pPr>
      <w:r>
        <w:rPr>
          <w:rFonts w:eastAsia="宋体" w:ascii="Times New Roman" w:hAnsi="Times New Roman" w:cs="Times New Roman"/>
          <w:b w:val="false"/>
          <w:i w:val="false"/>
          <w:sz w:val="22"/>
        </w:rPr>
        <w:t>数据来源：华力创通2025年报及公开业绩说明</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[26]</w:t>
      </w:r>
    </w:p>
    <w:p>
      <w:pPr>
        <w:pStyle w:val="EM_H2_STYLE"/>
        <w:spacing w:line="240" w:lineRule="auto" w:before="120" w:after="120"/>
        <w:ind w:left="0"/>
        <w:jc w:val="left"/>
      </w:pPr>
      <w:r>
        <w:rPr>
          <w:rFonts w:eastAsia="宋体" w:ascii="宋体" w:hAnsi="宋体" w:cs="宋体"/>
          <w:b w:val="true"/>
          <w:i w:val="false"/>
          <w:sz w:val="28"/>
        </w:rPr>
        <w:t>3.2 境内外市场布局</w:t>
      </w:r>
    </w:p>
    <w:p>
      <w:pPr>
        <w:spacing w:line="240" w:lineRule="auto" w:before="120" w:after="120"/>
        <w:ind w:firstLine="0"/>
        <w:jc w:val="left"/>
      </w:pPr>
      <w:r>
        <w:rPr>
          <w:rFonts w:eastAsia="宋体" w:ascii="Times New Roman" w:hAnsi="Times New Roman" w:cs="Times New Roman"/>
          <w:b w:val="false"/>
          <w:i w:val="false"/>
          <w:sz w:val="22"/>
        </w:rPr>
        <w:t>华力创通在境内外市场布局方面展现出全面而多元化的战略，通过深耕国内核心行业与积极拓展海外新兴市场，构建了稳固的业务网络。在国内市场，公司聚焦多个关键行业领域，包括国防、交通、海洋和测绘，与多家国有企业和科研机构建立了紧密合作关系，提供高精度定位产品和解决方案</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。民用市场方面，公司重点布局智能交通、智慧城市和精准农业等领域，通过与地方政府及企业合作，推动卫星导航技术在提升人民生活质量中的应用</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区域战略上，华力创通强化了西北区域布局，西安华力创通于2024年正式挂牌成立，作为上市公司在西北的重要据点，业务覆盖卫星导航与通信、雷达信号处理、仿真测试与系统仿真、无人系统四大方向，并辐射周边地区，促进军民融合产业结构优化</w:t>
      </w:r>
      <w:r>
        <w:rPr>
          <w:rFonts w:eastAsia="宋体" w:ascii="Times New Roman" w:hAnsi="Times New Roman" w:cs="Times New Roman"/>
          <w:b w:val="false"/>
          <w:i w:val="false"/>
          <w:sz w:val="22"/>
          <w:vertAlign w:val="superscript"/>
        </w:rPr>
        <w:t>[49]</w:t>
      </w:r>
      <w:r>
        <w:rPr>
          <w:rFonts w:eastAsia="宋体" w:ascii="Times New Roman" w:hAnsi="Times New Roman" w:cs="Times New Roman"/>
          <w:b w:val="false"/>
          <w:i w:val="false"/>
          <w:sz w:val="22"/>
          <w:vertAlign w:val="superscript"/>
        </w:rPr>
        <w:t>[50]</w:t>
      </w:r>
      <w:r>
        <w:rPr>
          <w:rFonts w:eastAsia="宋体" w:ascii="Times New Roman" w:hAnsi="Times New Roman" w:cs="Times New Roman"/>
          <w:b w:val="false"/>
          <w:i w:val="false"/>
          <w:sz w:val="22"/>
        </w:rPr>
        <w:t>。中标业绩显示，公司覆盖了北京市和云南省等多个地区，体现了市场布局的广泛性</w:t>
      </w:r>
      <w:r>
        <w:rPr>
          <w:rFonts w:eastAsia="宋体" w:ascii="Times New Roman" w:hAnsi="Times New Roman" w:cs="Times New Roman"/>
          <w:b w:val="false"/>
          <w:i w:val="false"/>
          <w:sz w:val="22"/>
          <w:vertAlign w:val="superscript"/>
        </w:rPr>
        <w:t>[51]</w:t>
      </w:r>
      <w:r>
        <w:rPr>
          <w:rFonts w:eastAsia="宋体" w:ascii="Times New Roman" w:hAnsi="Times New Roman" w:cs="Times New Roman"/>
          <w:b w:val="false"/>
          <w:i w:val="false"/>
          <w:sz w:val="22"/>
        </w:rPr>
        <w:t>。车载市场成为国内布局的重点，公司已明确发展车载卫星导航和卫星通信产品，正积极与汽车厂商对接，探索多元化应用路径；在特种行业领域，多型号北三车载终端已完成定型并实现小批量生产交付，而民用通用卫星通信车载产品则处于试用阶段，尚未进入大规模量产</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国际市场拓展是华力创通战略的核心组成部分，公司利用北斗导航系统国际化契机，积极推动产品出口至亚洲、欧洲和非洲等多个国家和地区</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。市场覆盖范围广泛，包括东南亚、非洲及南极地区，客户群涵盖通信运营商、设备制造商和政府机构等全行业高端客户</w:t>
      </w:r>
      <w:r>
        <w:rPr>
          <w:rFonts w:eastAsia="宋体" w:ascii="Times New Roman" w:hAnsi="Times New Roman" w:cs="Times New Roman"/>
          <w:b w:val="false"/>
          <w:i w:val="false"/>
          <w:sz w:val="22"/>
          <w:vertAlign w:val="superscript"/>
        </w:rPr>
        <w:t>[52]</w:t>
      </w:r>
      <w:r>
        <w:rPr>
          <w:rFonts w:eastAsia="宋体" w:ascii="Times New Roman" w:hAnsi="Times New Roman" w:cs="Times New Roman"/>
          <w:b w:val="false"/>
          <w:i w:val="false"/>
          <w:sz w:val="22"/>
        </w:rPr>
        <w:t>。军贸出口业务潜力巨大，公司参与北斗/天通系统配套中东及非洲国家项目，潜在市场规模达50亿美元</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。为加速海外市场开发，公司已组建专业国际业务团队，未来将根据全球市场动态推进合作项目，提升国际竞争力</w:t>
      </w:r>
      <w:r>
        <w:rPr>
          <w:rFonts w:eastAsia="宋体" w:ascii="Times New Roman" w:hAnsi="Times New Roman" w:cs="Times New Roman"/>
          <w:b w:val="false"/>
          <w:i w:val="false"/>
          <w:sz w:val="22"/>
          <w:vertAlign w:val="superscript"/>
        </w:rPr>
        <w:t>[53]</w:t>
      </w:r>
      <w:r>
        <w:rPr>
          <w:rFonts w:eastAsia="宋体" w:ascii="Times New Roman" w:hAnsi="Times New Roman" w:cs="Times New Roman"/>
          <w:b w:val="false"/>
          <w:i w:val="false"/>
          <w:sz w:val="22"/>
        </w:rPr>
        <w:t>。同时，公司积极参与国际合作，推动北斗系统国际化进程，并通过并购、重组等资本运作整合资源，增强全球市场影响力</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在业务结构上，华力创通的收入来源高度多样化，反映出境内外市场布局的均衡性。境内市场占据绝对主导地位，2025年境内收入占比达91.97%，凸显国内市场作为公司核心基石的稳固性</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。下表总结了2024年各业务板块的收入占比与毛利率，展示其市场布局的内在驱动力：</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业务板块</w:t>
            </w:r>
          </w:p>
        </w:tc>
        <w:tc>
          <w:tcPr>
            <w:tcW w:type="dxa" w:w="4080"/>
            <w:vAlign w:val="center"/>
          </w:tcPr>
          <w:p>
            <w:r>
              <w:rPr>
                <w:rFonts w:eastAsia="宋体" w:ascii="Times New Roman" w:hAnsi="Times New Roman" w:cs="Times New Roman"/>
                <w:b w:val="false"/>
                <w:i w:val="false"/>
                <w:sz w:val="22"/>
              </w:rPr>
              <w:t>2024年收入占比</w:t>
            </w:r>
          </w:p>
        </w:tc>
        <w:tc>
          <w:tcPr>
            <w:tcW w:type="dxa" w:w="4080"/>
            <w:vAlign w:val="center"/>
          </w:tcPr>
          <w:p>
            <w:r>
              <w:rPr>
                <w:rFonts w:eastAsia="宋体" w:ascii="Times New Roman" w:hAnsi="Times New Roman" w:cs="Times New Roman"/>
                <w:b w:val="false"/>
                <w:i w:val="false"/>
                <w:sz w:val="22"/>
              </w:rPr>
              <w:t>毛利率</w:t>
            </w:r>
          </w:p>
        </w:tc>
      </w:tr>
      <w:tr>
        <w:tc>
          <w:tcPr>
            <w:tcW w:type="dxa" w:w="4080"/>
            <w:vAlign w:val="center"/>
          </w:tcPr>
          <w:p>
            <w:r>
              <w:rPr>
                <w:rFonts w:eastAsia="宋体" w:ascii="Times New Roman" w:hAnsi="Times New Roman" w:cs="Times New Roman"/>
                <w:b w:val="false"/>
                <w:i w:val="false"/>
                <w:sz w:val="22"/>
              </w:rPr>
              <w:t>卫星导航</w:t>
            </w:r>
          </w:p>
        </w:tc>
        <w:tc>
          <w:tcPr>
            <w:tcW w:type="dxa" w:w="4080"/>
            <w:vAlign w:val="center"/>
          </w:tcPr>
          <w:p>
            <w:r>
              <w:rPr>
                <w:rFonts w:eastAsia="宋体" w:ascii="Times New Roman" w:hAnsi="Times New Roman" w:cs="Times New Roman"/>
                <w:b w:val="false"/>
                <w:i w:val="false"/>
                <w:sz w:val="22"/>
              </w:rPr>
              <w:t>45%</w:t>
            </w:r>
          </w:p>
        </w:tc>
        <w:tc>
          <w:tcPr>
            <w:tcW w:type="dxa" w:w="4080"/>
            <w:vAlign w:val="center"/>
          </w:tcPr>
          <w:p>
            <w:r>
              <w:rPr>
                <w:rFonts w:eastAsia="宋体" w:ascii="Times New Roman" w:hAnsi="Times New Roman" w:cs="Times New Roman"/>
                <w:b w:val="false"/>
                <w:i w:val="false"/>
                <w:sz w:val="22"/>
              </w:rPr>
              <w:t>55%</w:t>
            </w:r>
          </w:p>
        </w:tc>
      </w:tr>
      <w:tr>
        <w:tc>
          <w:tcPr>
            <w:tcW w:type="dxa" w:w="4080"/>
            <w:vAlign w:val="center"/>
          </w:tcPr>
          <w:p>
            <w:r>
              <w:rPr>
                <w:rFonts w:eastAsia="宋体" w:ascii="Times New Roman" w:hAnsi="Times New Roman" w:cs="Times New Roman"/>
                <w:b w:val="false"/>
                <w:i w:val="false"/>
                <w:sz w:val="22"/>
              </w:rPr>
              <w:t>卫星通信</w:t>
            </w:r>
          </w:p>
        </w:tc>
        <w:tc>
          <w:tcPr>
            <w:tcW w:type="dxa" w:w="4080"/>
            <w:vAlign w:val="center"/>
          </w:tcPr>
          <w:p>
            <w:r>
              <w:rPr>
                <w:rFonts w:eastAsia="宋体" w:ascii="Times New Roman" w:hAnsi="Times New Roman" w:cs="Times New Roman"/>
                <w:b w:val="false"/>
                <w:i w:val="false"/>
                <w:sz w:val="22"/>
              </w:rPr>
              <w:t>30%</w:t>
            </w:r>
          </w:p>
        </w:tc>
        <w:tc>
          <w:tcPr>
            <w:tcW w:type="dxa" w:w="4080"/>
            <w:vAlign w:val="center"/>
          </w:tcPr>
          <w:p>
            <w:r>
              <w:rPr>
                <w:rFonts w:eastAsia="宋体" w:ascii="Times New Roman" w:hAnsi="Times New Roman" w:cs="Times New Roman"/>
                <w:b w:val="false"/>
                <w:i w:val="false"/>
                <w:sz w:val="22"/>
              </w:rPr>
              <w:t>60%</w:t>
            </w:r>
          </w:p>
        </w:tc>
      </w:tr>
      <w:tr>
        <w:tc>
          <w:tcPr>
            <w:tcW w:type="dxa" w:w="4080"/>
            <w:vAlign w:val="center"/>
          </w:tcPr>
          <w:p>
            <w:r>
              <w:rPr>
                <w:rFonts w:eastAsia="宋体" w:ascii="Times New Roman" w:hAnsi="Times New Roman" w:cs="Times New Roman"/>
                <w:b w:val="false"/>
                <w:i w:val="false"/>
                <w:sz w:val="22"/>
              </w:rPr>
              <w:t>仿真测试/雷达</w:t>
            </w:r>
          </w:p>
        </w:tc>
        <w:tc>
          <w:tcPr>
            <w:tcW w:type="dxa" w:w="4080"/>
            <w:vAlign w:val="center"/>
          </w:tcPr>
          <w:p>
            <w:r>
              <w:rPr>
                <w:rFonts w:eastAsia="宋体" w:ascii="Times New Roman" w:hAnsi="Times New Roman" w:cs="Times New Roman"/>
                <w:b w:val="false"/>
                <w:i w:val="false"/>
                <w:sz w:val="22"/>
              </w:rPr>
              <w:t>20%</w:t>
            </w:r>
          </w:p>
        </w:tc>
        <w:tc>
          <w:tcPr>
            <w:tcW w:type="dxa" w:w="4080"/>
            <w:vAlign w:val="center"/>
          </w:tcPr>
          <w:p>
            <w:r>
              <w:rPr>
                <w:rFonts w:eastAsia="宋体" w:ascii="Times New Roman" w:hAnsi="Times New Roman" w:cs="Times New Roman"/>
                <w:b w:val="false"/>
                <w:i w:val="false"/>
                <w:sz w:val="22"/>
              </w:rPr>
              <w:t>50%</w:t>
            </w:r>
          </w:p>
        </w:tc>
      </w:tr>
      <w:tr>
        <w:tc>
          <w:tcPr>
            <w:tcW w:type="dxa" w:w="4080"/>
            <w:vAlign w:val="center"/>
          </w:tcPr>
          <w:p>
            <w:r>
              <w:rPr>
                <w:rFonts w:eastAsia="宋体" w:ascii="Times New Roman" w:hAnsi="Times New Roman" w:cs="Times New Roman"/>
                <w:b w:val="false"/>
                <w:i w:val="false"/>
                <w:sz w:val="22"/>
              </w:rPr>
              <w:t>无人系统</w:t>
            </w:r>
          </w:p>
        </w:tc>
        <w:tc>
          <w:tcPr>
            <w:tcW w:type="dxa" w:w="4080"/>
            <w:vAlign w:val="center"/>
          </w:tcPr>
          <w:p>
            <w:r>
              <w:rPr>
                <w:rFonts w:eastAsia="宋体" w:ascii="Times New Roman" w:hAnsi="Times New Roman" w:cs="Times New Roman"/>
                <w:b w:val="false"/>
                <w:i w:val="false"/>
                <w:sz w:val="22"/>
              </w:rPr>
              <w:t>5%</w:t>
            </w:r>
          </w:p>
        </w:tc>
        <w:tc>
          <w:tcPr>
            <w:tcW w:type="dxa" w:w="4080"/>
            <w:vAlign w:val="center"/>
          </w:tcPr>
          <w:p>
            <w:r>
              <w:rPr>
                <w:rFonts w:eastAsia="宋体" w:ascii="Times New Roman" w:hAnsi="Times New Roman" w:cs="Times New Roman"/>
                <w:b w:val="false"/>
                <w:i w:val="false"/>
                <w:sz w:val="22"/>
              </w:rPr>
              <w:t>40%</w:t>
            </w:r>
          </w:p>
        </w:tc>
      </w:tr>
    </w:tbl>
    <w:p>
      <w:pPr>
        <w:spacing w:line="240" w:lineRule="auto" w:before="120" w:after="120"/>
        <w:ind w:firstLine="0"/>
        <w:jc w:val="left"/>
      </w:pPr>
      <w:r>
        <w:rPr>
          <w:rFonts w:eastAsia="宋体" w:ascii="Times New Roman" w:hAnsi="Times New Roman" w:cs="Times New Roman"/>
          <w:b w:val="false"/>
          <w:i w:val="false"/>
          <w:sz w:val="22"/>
        </w:rPr>
        <w:t>表格内容来源于华力创通业务结构数据</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。卫星导航和卫星通信作为高毛利业务，支撑了国内市场的深度渗透，而无人系统虽占比小但增速快，受益于低空经济发展和国际市场拓展</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vertAlign w:val="superscript"/>
        </w:rPr>
        <w:t>[54]</w:t>
      </w:r>
      <w:r>
        <w:rPr>
          <w:rFonts w:eastAsia="宋体" w:ascii="Times New Roman" w:hAnsi="Times New Roman" w:cs="Times New Roman"/>
          <w:b w:val="false"/>
          <w:i w:val="false"/>
          <w:sz w:val="22"/>
        </w:rPr>
        <w:t>。公司正加速国际市场布局，预计未来国际业务将成重要增长引擎，尤其在低轨卫星和车载领域</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。客户合作方面，公司服务对象多元化，从国防军工到民用行业，体现了市场布局的广度与适应性</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[52]</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3.3 客户合作与产品落地</w:t>
      </w:r>
    </w:p>
    <w:p>
      <w:pPr>
        <w:spacing w:line="240" w:lineRule="auto" w:before="120" w:after="120"/>
        <w:ind w:firstLine="0"/>
        <w:jc w:val="left"/>
      </w:pPr>
      <w:r>
        <w:rPr>
          <w:rFonts w:eastAsia="宋体" w:ascii="Times New Roman" w:hAnsi="Times New Roman" w:cs="Times New Roman"/>
          <w:b w:val="false"/>
          <w:i w:val="false"/>
          <w:sz w:val="22"/>
        </w:rPr>
        <w:t>在手机卫星通信领域，华力创通已实现消费级卫星通信基带芯片在消费电子领域的应用，并正积极推进与多家手机厂商的合作对接，旨在拓展市场并实现高质量发展；目前公司虽未公开具体合作厂商名单，但强调具备核心技术支撑，后续合作进展将严格履行信息披露义务</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。在车载卫星导航和通信方面，公司已明确布局相关产品，自研的卫星通信模块和导航产品可满足车载场景需求，正积极与潜在汽车厂商对接以优化产品适配度</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。其中，特种行业领域的北三车载终端已有两型产品实现小批量生产与交付，而民用领域的通用卫星通信车载产品尚处于试用阶段，未进入大批量生产</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公司与华为的合作关系尤为深入，采用“华为定义+华力研发”的定制模式，显著提高了切换成本，同时覆盖小米、OPPO等头部品牌，形成多元化客户结构</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rPr>
        <w:t>。截至2025年9月，卫星通信芯片订单排期已至2026年第二季度，订单充裕度高，单机芯片用量在华为新技术落地后有望从1颗增至2-3颗，进一步释放业绩弹性</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rPr>
        <w:t>。在汽车直连卫星领域，解决方案已实现规模化落地，覆盖戈壁、高原等公网盲区，并配置到国内多个头部车企的多款车型中，显著缩短救援响应时间</w:t>
      </w:r>
      <w:r>
        <w:rPr>
          <w:rFonts w:eastAsia="宋体" w:ascii="Times New Roman" w:hAnsi="Times New Roman" w:cs="Times New Roman"/>
          <w:b w:val="false"/>
          <w:i w:val="false"/>
          <w:sz w:val="22"/>
          <w:vertAlign w:val="superscript"/>
        </w:rPr>
        <w:t>[55]</w:t>
      </w:r>
      <w:r>
        <w:rPr>
          <w:rFonts w:eastAsia="宋体" w:ascii="Times New Roman" w:hAnsi="Times New Roman" w:cs="Times New Roman"/>
          <w:b w:val="false"/>
          <w:i w:val="false"/>
          <w:sz w:val="22"/>
        </w:rPr>
        <w:t>。此外，“天通猫”车载卫星设备以高性价比实现全车型适配，吸附车顶即可提供卫星信号支持</w:t>
      </w:r>
      <w:r>
        <w:rPr>
          <w:rFonts w:eastAsia="宋体" w:ascii="Times New Roman" w:hAnsi="Times New Roman" w:cs="Times New Roman"/>
          <w:b w:val="false"/>
          <w:i w:val="false"/>
          <w:sz w:val="22"/>
          <w:vertAlign w:val="superscript"/>
        </w:rPr>
        <w:t>[55]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海外市场拓展成果显著，公司已获东南亚矿产、远洋渔业等企业订单，2024年卫星通信业务海外营收同比激增217% </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。中标印尼“海洋卫星通信网”一期工程，金额达2.3亿元，为5000艘渔船提供北斗短报文+低轨宽带服务，技术参数优于国际竞品</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。同时，凭借-55℃极端环境稳定运行技术，华力创通成为中俄《联合开发北极卫星通信网络备忘录》的中方指定设备商</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军工领域合作稳固，依托高壁垒的国防军工客户基础，公司与重要军工院所建立长期稳定关系，为产品进入特种领域提供渠道</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rPr>
        <w:t>。特种靶机产品已实现小批量订货并陆续交付客户，同时公司紧扣低空经济赛道，深化物流运输和应急救援等场景的解决方案</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。其他产品落地包括电动自行车北斗终端芯片，响应新国标要求，已完成样机开发并交付厂商适配测试</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。在低轨卫星领域，配套产品整体处于预研阶段，包括多模卫星通信芯片和低成本抗辐照星载模组，技术验证和方案优化工作持续推进</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 xml:space="preserve">。重大合同履行顺利，如2023年披露的合同在2025年已完成交付，履行进度达100% </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订单与生产状态方面，公司生产运营整体平稳有序，订单承接、排产计划和产品交付稳步推进</w:t>
      </w:r>
      <w:r>
        <w:rPr>
          <w:rFonts w:eastAsia="宋体" w:ascii="Times New Roman" w:hAnsi="Times New Roman" w:cs="Times New Roman"/>
          <w:b w:val="false"/>
          <w:i w:val="false"/>
          <w:sz w:val="22"/>
          <w:vertAlign w:val="superscript"/>
        </w:rPr>
        <w:t>[57]</w:t>
      </w:r>
      <w:r>
        <w:rPr>
          <w:rFonts w:eastAsia="宋体" w:ascii="Times New Roman" w:hAnsi="Times New Roman" w:cs="Times New Roman"/>
          <w:b w:val="false"/>
          <w:i w:val="false"/>
          <w:sz w:val="22"/>
        </w:rPr>
        <w:t>。射频前端芯片在卫星通信终端领域具领先地位，作为天通一号地面终端核心供应商，2025年有望参与低轨星座终端标准制定</w:t>
      </w:r>
      <w:r>
        <w:rPr>
          <w:rFonts w:eastAsia="宋体" w:ascii="Times New Roman" w:hAnsi="Times New Roman" w:cs="Times New Roman"/>
          <w:b w:val="false"/>
          <w:i w:val="false"/>
          <w:sz w:val="22"/>
          <w:vertAlign w:val="superscript"/>
        </w:rPr>
        <w:t>[58]</w:t>
      </w:r>
      <w:r>
        <w:rPr>
          <w:rFonts w:eastAsia="宋体" w:ascii="Times New Roman" w:hAnsi="Times New Roman" w:cs="Times New Roman"/>
          <w:b w:val="false"/>
          <w:i w:val="false"/>
          <w:sz w:val="22"/>
        </w:rPr>
        <w:t>。北斗应用产品如北斗三号短报文射频基带一体化SoC芯片和高精度基带芯片已展出，支持极端场景定位与通信</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rPr>
        <w:t>。无人机系统专注于特种级与工业级，靶机产品形成阶段性业务落地</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产品领域</w:t>
            </w:r>
          </w:p>
        </w:tc>
        <w:tc>
          <w:tcPr>
            <w:tcW w:type="dxa" w:w="3060"/>
            <w:vAlign w:val="center"/>
          </w:tcPr>
          <w:p>
            <w:r>
              <w:rPr>
                <w:rFonts w:eastAsia="宋体" w:ascii="Times New Roman" w:hAnsi="Times New Roman" w:cs="Times New Roman"/>
                <w:b w:val="false"/>
                <w:i w:val="false"/>
                <w:sz w:val="22"/>
              </w:rPr>
              <w:t>合作进展</w:t>
            </w:r>
          </w:p>
        </w:tc>
        <w:tc>
          <w:tcPr>
            <w:tcW w:type="dxa" w:w="3060"/>
            <w:vAlign w:val="center"/>
          </w:tcPr>
          <w:p>
            <w:r>
              <w:rPr>
                <w:rFonts w:eastAsia="宋体" w:ascii="Times New Roman" w:hAnsi="Times New Roman" w:cs="Times New Roman"/>
                <w:b w:val="false"/>
                <w:i w:val="false"/>
                <w:sz w:val="22"/>
              </w:rPr>
              <w:t>产品落地状态</w:t>
            </w:r>
          </w:p>
        </w:tc>
        <w:tc>
          <w:tcPr>
            <w:tcW w:type="dxa" w:w="3060"/>
            <w:vAlign w:val="center"/>
          </w:tcPr>
          <w:p>
            <w:r>
              <w:rPr>
                <w:rFonts w:eastAsia="宋体" w:ascii="Times New Roman" w:hAnsi="Times New Roman" w:cs="Times New Roman"/>
                <w:b w:val="false"/>
                <w:i w:val="false"/>
                <w:sz w:val="22"/>
              </w:rPr>
              <w:t>来源说明</w:t>
            </w:r>
          </w:p>
        </w:tc>
      </w:tr>
      <w:tr>
        <w:tc>
          <w:tcPr>
            <w:tcW w:type="dxa" w:w="3060"/>
            <w:vAlign w:val="center"/>
          </w:tcPr>
          <w:p>
            <w:r>
              <w:rPr>
                <w:rFonts w:eastAsia="宋体" w:ascii="Times New Roman" w:hAnsi="Times New Roman" w:cs="Times New Roman"/>
                <w:b w:val="false"/>
                <w:i w:val="false"/>
                <w:sz w:val="22"/>
              </w:rPr>
              <w:t>手机卫星通信</w:t>
            </w:r>
          </w:p>
        </w:tc>
        <w:tc>
          <w:tcPr>
            <w:tcW w:type="dxa" w:w="3060"/>
            <w:vAlign w:val="center"/>
          </w:tcPr>
          <w:p>
            <w:r>
              <w:rPr>
                <w:rFonts w:eastAsia="宋体" w:ascii="Times New Roman" w:hAnsi="Times New Roman" w:cs="Times New Roman"/>
                <w:b w:val="false"/>
                <w:i w:val="false"/>
                <w:sz w:val="22"/>
              </w:rPr>
              <w:t>与华为、小米、OPPO等厂商深度绑定，订单排期至2026Q2</w:t>
            </w:r>
          </w:p>
        </w:tc>
        <w:tc>
          <w:tcPr>
            <w:tcW w:type="dxa" w:w="3060"/>
            <w:vAlign w:val="center"/>
          </w:tcPr>
          <w:p>
            <w:r>
              <w:rPr>
                <w:rFonts w:eastAsia="宋体" w:ascii="Times New Roman" w:hAnsi="Times New Roman" w:cs="Times New Roman"/>
                <w:b w:val="false"/>
                <w:i w:val="false"/>
                <w:sz w:val="22"/>
              </w:rPr>
              <w:t>消费级芯片已应用，单机用量有望提升</w:t>
            </w:r>
          </w:p>
        </w:tc>
        <w:tc>
          <w:tcPr>
            <w:tcW w:type="dxa" w:w="3060"/>
            <w:vAlign w:val="center"/>
          </w:tcPr>
          <w:p>
            <w:r>
              <w:rPr>
                <w:rFonts w:eastAsia="宋体" w:ascii="Times New Roman" w:hAnsi="Times New Roman" w:cs="Times New Roman"/>
                <w:b w:val="false"/>
                <w:i w:val="false"/>
                <w:sz w:val="22"/>
              </w:rPr>
              <w:t>综合来源#30、#34</w:t>
            </w:r>
          </w:p>
        </w:tc>
      </w:tr>
      <w:tr>
        <w:tc>
          <w:tcPr>
            <w:tcW w:type="dxa" w:w="3060"/>
            <w:vAlign w:val="center"/>
          </w:tcPr>
          <w:p>
            <w:r>
              <w:rPr>
                <w:rFonts w:eastAsia="宋体" w:ascii="Times New Roman" w:hAnsi="Times New Roman" w:cs="Times New Roman"/>
                <w:b w:val="false"/>
                <w:i w:val="false"/>
                <w:sz w:val="22"/>
              </w:rPr>
              <w:t>车载卫星</w:t>
            </w:r>
          </w:p>
        </w:tc>
        <w:tc>
          <w:tcPr>
            <w:tcW w:type="dxa" w:w="3060"/>
            <w:vAlign w:val="center"/>
          </w:tcPr>
          <w:p>
            <w:r>
              <w:rPr>
                <w:rFonts w:eastAsia="宋体" w:ascii="Times New Roman" w:hAnsi="Times New Roman" w:cs="Times New Roman"/>
                <w:b w:val="false"/>
                <w:i w:val="false"/>
                <w:sz w:val="22"/>
              </w:rPr>
              <w:t>与头部车企合作，解决方案覆盖公网盲区</w:t>
            </w:r>
          </w:p>
        </w:tc>
        <w:tc>
          <w:tcPr>
            <w:tcW w:type="dxa" w:w="3060"/>
            <w:vAlign w:val="center"/>
          </w:tcPr>
          <w:p>
            <w:r>
              <w:rPr>
                <w:rFonts w:eastAsia="宋体" w:ascii="Times New Roman" w:hAnsi="Times New Roman" w:cs="Times New Roman"/>
                <w:b w:val="false"/>
                <w:i w:val="false"/>
                <w:sz w:val="22"/>
              </w:rPr>
              <w:t>北三终端小批量交付，通用产品试用中</w:t>
            </w:r>
          </w:p>
        </w:tc>
        <w:tc>
          <w:tcPr>
            <w:tcW w:type="dxa" w:w="3060"/>
            <w:vAlign w:val="center"/>
          </w:tcPr>
          <w:p>
            <w:r>
              <w:rPr>
                <w:rFonts w:eastAsia="宋体" w:ascii="Times New Roman" w:hAnsi="Times New Roman" w:cs="Times New Roman"/>
                <w:b w:val="false"/>
                <w:i w:val="false"/>
                <w:sz w:val="22"/>
              </w:rPr>
              <w:t>综合来源#68、#101</w:t>
            </w:r>
          </w:p>
        </w:tc>
      </w:tr>
      <w:tr>
        <w:tc>
          <w:tcPr>
            <w:tcW w:type="dxa" w:w="3060"/>
            <w:vAlign w:val="center"/>
          </w:tcPr>
          <w:p>
            <w:r>
              <w:rPr>
                <w:rFonts w:eastAsia="宋体" w:ascii="Times New Roman" w:hAnsi="Times New Roman" w:cs="Times New Roman"/>
                <w:b w:val="false"/>
                <w:i w:val="false"/>
                <w:sz w:val="22"/>
              </w:rPr>
              <w:t>海外市场</w:t>
            </w:r>
          </w:p>
        </w:tc>
        <w:tc>
          <w:tcPr>
            <w:tcW w:type="dxa" w:w="3060"/>
            <w:vAlign w:val="center"/>
          </w:tcPr>
          <w:p>
            <w:r>
              <w:rPr>
                <w:rFonts w:eastAsia="宋体" w:ascii="Times New Roman" w:hAnsi="Times New Roman" w:cs="Times New Roman"/>
                <w:b w:val="false"/>
                <w:i w:val="false"/>
                <w:sz w:val="22"/>
              </w:rPr>
              <w:t>中标印尼工程，中俄合作指定设备商</w:t>
            </w:r>
          </w:p>
        </w:tc>
        <w:tc>
          <w:tcPr>
            <w:tcW w:type="dxa" w:w="3060"/>
            <w:vAlign w:val="center"/>
          </w:tcPr>
          <w:p>
            <w:r>
              <w:rPr>
                <w:rFonts w:eastAsia="宋体" w:ascii="Times New Roman" w:hAnsi="Times New Roman" w:cs="Times New Roman"/>
                <w:b w:val="false"/>
                <w:i w:val="false"/>
                <w:sz w:val="22"/>
              </w:rPr>
              <w:t>东南亚订单激增，技术输出标准制定</w:t>
            </w:r>
          </w:p>
        </w:tc>
        <w:tc>
          <w:tcPr>
            <w:tcW w:type="dxa" w:w="3060"/>
            <w:vAlign w:val="center"/>
          </w:tcPr>
          <w:p>
            <w:r>
              <w:rPr>
                <w:rFonts w:eastAsia="宋体" w:ascii="Times New Roman" w:hAnsi="Times New Roman" w:cs="Times New Roman"/>
                <w:b w:val="false"/>
                <w:i w:val="false"/>
                <w:sz w:val="22"/>
              </w:rPr>
              <w:t>综合来源#102</w:t>
            </w:r>
          </w:p>
        </w:tc>
      </w:tr>
      <w:tr>
        <w:tc>
          <w:tcPr>
            <w:tcW w:type="dxa" w:w="3060"/>
            <w:vAlign w:val="center"/>
          </w:tcPr>
          <w:p>
            <w:r>
              <w:rPr>
                <w:rFonts w:eastAsia="宋体" w:ascii="Times New Roman" w:hAnsi="Times New Roman" w:cs="Times New Roman"/>
                <w:b w:val="false"/>
                <w:i w:val="false"/>
                <w:sz w:val="22"/>
              </w:rPr>
              <w:t>军工与特种领域</w:t>
            </w:r>
          </w:p>
        </w:tc>
        <w:tc>
          <w:tcPr>
            <w:tcW w:type="dxa" w:w="3060"/>
            <w:vAlign w:val="center"/>
          </w:tcPr>
          <w:p>
            <w:r>
              <w:rPr>
                <w:rFonts w:eastAsia="宋体" w:ascii="Times New Roman" w:hAnsi="Times New Roman" w:cs="Times New Roman"/>
                <w:b w:val="false"/>
                <w:i w:val="false"/>
                <w:sz w:val="22"/>
              </w:rPr>
              <w:t>长期稳定军工客户关系，特种靶机交付</w:t>
            </w:r>
          </w:p>
        </w:tc>
        <w:tc>
          <w:tcPr>
            <w:tcW w:type="dxa" w:w="3060"/>
            <w:vAlign w:val="center"/>
          </w:tcPr>
          <w:p>
            <w:r>
              <w:rPr>
                <w:rFonts w:eastAsia="宋体" w:ascii="Times New Roman" w:hAnsi="Times New Roman" w:cs="Times New Roman"/>
                <w:b w:val="false"/>
                <w:i w:val="false"/>
                <w:sz w:val="22"/>
              </w:rPr>
              <w:t>靶机小批量订货，低空经济解决方案</w:t>
            </w:r>
          </w:p>
        </w:tc>
        <w:tc>
          <w:tcPr>
            <w:tcW w:type="dxa" w:w="3060"/>
            <w:vAlign w:val="center"/>
          </w:tcPr>
          <w:p>
            <w:r>
              <w:rPr>
                <w:rFonts w:eastAsia="宋体" w:ascii="Times New Roman" w:hAnsi="Times New Roman" w:cs="Times New Roman"/>
                <w:b w:val="false"/>
                <w:i w:val="false"/>
                <w:sz w:val="22"/>
              </w:rPr>
              <w:t>综合来源#31、#68</w:t>
            </w:r>
          </w:p>
        </w:tc>
      </w:tr>
      <w:tr>
        <w:tc>
          <w:tcPr>
            <w:tcW w:type="dxa" w:w="3060"/>
            <w:vAlign w:val="center"/>
          </w:tcPr>
          <w:p>
            <w:r>
              <w:rPr>
                <w:rFonts w:eastAsia="宋体" w:ascii="Times New Roman" w:hAnsi="Times New Roman" w:cs="Times New Roman"/>
                <w:b w:val="false"/>
                <w:i w:val="false"/>
                <w:sz w:val="22"/>
              </w:rPr>
              <w:t>其他产品</w:t>
            </w:r>
          </w:p>
        </w:tc>
        <w:tc>
          <w:tcPr>
            <w:tcW w:type="dxa" w:w="3060"/>
            <w:vAlign w:val="center"/>
          </w:tcPr>
          <w:p>
            <w:r>
              <w:rPr>
                <w:rFonts w:eastAsia="宋体" w:ascii="Times New Roman" w:hAnsi="Times New Roman" w:cs="Times New Roman"/>
                <w:b w:val="false"/>
                <w:i w:val="false"/>
                <w:sz w:val="22"/>
              </w:rPr>
              <w:t>电动自行车芯片适配测试，低轨卫星芯片预研</w:t>
            </w:r>
          </w:p>
        </w:tc>
        <w:tc>
          <w:tcPr>
            <w:tcW w:type="dxa" w:w="3060"/>
            <w:vAlign w:val="center"/>
          </w:tcPr>
          <w:p>
            <w:r>
              <w:rPr>
                <w:rFonts w:eastAsia="宋体" w:ascii="Times New Roman" w:hAnsi="Times New Roman" w:cs="Times New Roman"/>
                <w:b w:val="false"/>
                <w:i w:val="false"/>
                <w:sz w:val="22"/>
              </w:rPr>
              <w:t>样机开发完成，射频前端技术领先</w:t>
            </w:r>
          </w:p>
        </w:tc>
        <w:tc>
          <w:tcPr>
            <w:tcW w:type="dxa" w:w="3060"/>
            <w:vAlign w:val="center"/>
          </w:tcPr>
          <w:p>
            <w:r>
              <w:rPr>
                <w:rFonts w:eastAsia="宋体" w:ascii="Times New Roman" w:hAnsi="Times New Roman" w:cs="Times New Roman"/>
                <w:b w:val="false"/>
                <w:i w:val="false"/>
                <w:sz w:val="22"/>
              </w:rPr>
              <w:t>综合来源#68、#107</w:t>
            </w:r>
          </w:p>
        </w:tc>
      </w:tr>
    </w:tbl>
    <w:p>
      <w:pPr>
        <w:spacing w:line="240" w:lineRule="auto" w:before="120" w:after="120"/>
        <w:ind w:firstLine="0"/>
        <w:jc w:val="left"/>
      </w:pPr>
      <w:r>
        <w:rPr>
          <w:rFonts w:eastAsia="宋体" w:ascii="Times New Roman" w:hAnsi="Times New Roman" w:cs="Times New Roman"/>
          <w:b w:val="false"/>
          <w:i w:val="false"/>
          <w:sz w:val="22"/>
        </w:rPr>
        <w:t>表格内容综合自华力创通机构调研纪要、深度分析及市场报道</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[55]</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。公司通过多元化技术矩阵，加速产品在手机、车载、军工及海外市场的商业化进程，订单能见度高且生产运营稳定</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vertAlign w:val="superscript"/>
        </w:rPr>
        <w:t>[57]</w:t>
      </w:r>
      <w:r>
        <w:rPr>
          <w:rFonts w:eastAsia="宋体" w:ascii="Times New Roman" w:hAnsi="Times New Roman" w:cs="Times New Roman"/>
          <w:b w:val="false"/>
          <w:i w:val="false"/>
          <w:sz w:val="22"/>
        </w:rPr>
        <w:t>。军工仿真测试产品如半实物仿真系统已广泛应用于航空航天等领域，SAR雷达目标回波模拟器填补国内空白</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。在北斗导航领域，短报文和高精度模块降低应用门槛，支持海洋航运和应急救援场景</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rPr>
        <w:t>。射频前端芯片合作聚焦卫星通信终端，2025年车载和手机直连卫星需求预计翻倍</w:t>
      </w:r>
      <w:r>
        <w:rPr>
          <w:rFonts w:eastAsia="宋体" w:ascii="Times New Roman" w:hAnsi="Times New Roman" w:cs="Times New Roman"/>
          <w:b w:val="false"/>
          <w:i w:val="false"/>
          <w:sz w:val="22"/>
          <w:vertAlign w:val="superscript"/>
        </w:rPr>
        <w:t>[58]</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4. 盈利预测和估值分析</w:t>
      </w:r>
    </w:p>
    <w:p>
      <w:pPr>
        <w:spacing w:line="240" w:lineRule="auto" w:before="120" w:after="120"/>
        <w:ind w:firstLine="0"/>
        <w:jc w:val="left"/>
      </w:pPr>
    </w:p>
    <w:p>
      <w:pPr>
        <w:pStyle w:val="EM_H2_STYLE"/>
        <w:spacing w:line="240" w:lineRule="auto" w:before="120" w:after="120"/>
        <w:ind w:left="0"/>
        <w:jc w:val="left"/>
      </w:pPr>
      <w:r>
        <w:rPr>
          <w:rFonts w:eastAsia="宋体" w:ascii="宋体" w:hAnsi="宋体" w:cs="宋体"/>
          <w:b w:val="true"/>
          <w:i w:val="false"/>
          <w:sz w:val="28"/>
        </w:rPr>
        <w:t>4.1 盈利预测假设</w:t>
      </w:r>
    </w:p>
    <w:p>
      <w:pPr>
        <w:spacing w:line="240" w:lineRule="auto" w:before="120" w:after="120"/>
        <w:ind w:firstLine="0"/>
        <w:jc w:val="left"/>
      </w:pPr>
      <w:r>
        <w:rPr>
          <w:rFonts w:eastAsia="宋体" w:ascii="Times New Roman" w:hAnsi="Times New Roman" w:cs="Times New Roman"/>
          <w:b w:val="false"/>
          <w:i w:val="false"/>
          <w:sz w:val="22"/>
        </w:rPr>
        <w:t>在盈利预测假设的构建中，需综合考虑公司历史业绩、行业趋势及内外部驱动因素。基于华力创通2025年及2026年一季度财务表现，营收规模呈现稳步增长态势，2025年实现营业收入7.82亿元，同比增长42.91%，其中卫星应用业务收入3.67亿元、同比增长58.73%，成为核心驱动力；信号处理、机电仿真测试及仿真应用集成业务分别增长48.72%、31.38%和27.43%，表明公司通过聚焦核心主业和市场拓展策略，有效推动收入扩容</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。2026年一季度延续增长趋势，营收达1.47亿元、同比增长6.94%，反映市场需求回暖和订单交付的持续优化</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然而，盈利转化能力尚未同步提升，2025年归母净利润亏损6922万元（收窄51.58%），2026年一季度亏损1196万元（收窄31.17%），主要因成本结构优化不足及资产减值计提影响，需假设未来毛利率改善和费用管控强化以支撑扭亏</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费用结构变化构成关键假设变量。2025年期间费用总额2.72亿元、同比减少836万元，费用率下降16.47个百分点至34.82%，其中研发投入1.84亿元、同比下降24.31%，占营收比重23.48%；销售费用2925万元、下降5.78%，体现规模效应下的效率提升</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[61]</w:t>
      </w:r>
      <w:r>
        <w:rPr>
          <w:rFonts w:eastAsia="宋体" w:ascii="Times New Roman" w:hAnsi="Times New Roman" w:cs="Times New Roman"/>
          <w:b w:val="false"/>
          <w:i w:val="false"/>
          <w:sz w:val="22"/>
        </w:rPr>
        <w:t>。但2026年一季度费用压力加剧，期间费用6497万元、同比微增，销售费用增长29.00%，财务费用猛增408.76%，主要源于融资成本上升和应收账款管理挑战</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。假设未来费用率维持下行趋势，需平衡研发投入强度（2025年研发占比23.48%）与运营效率，同时考虑坏账转回贡献（2026年Q1信用减值损失增1224.71%对利润增厚）</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2040"/>
            <w:vAlign w:val="center"/>
          </w:tcPr>
          <w:p>
            <w:r>
              <w:rPr>
                <w:rFonts w:eastAsia="宋体" w:ascii="Times New Roman" w:hAnsi="Times New Roman" w:cs="Times New Roman"/>
                <w:b w:val="false"/>
                <w:i w:val="false"/>
                <w:sz w:val="22"/>
              </w:rPr>
              <w:t>关键指标</w:t>
            </w:r>
          </w:p>
        </w:tc>
        <w:tc>
          <w:tcPr>
            <w:tcW w:type="dxa" w:w="2040"/>
            <w:vAlign w:val="center"/>
          </w:tcPr>
          <w:p>
            <w:r>
              <w:rPr>
                <w:rFonts w:eastAsia="宋体" w:ascii="Times New Roman" w:hAnsi="Times New Roman" w:cs="Times New Roman"/>
                <w:b w:val="false"/>
                <w:i w:val="false"/>
                <w:sz w:val="22"/>
              </w:rPr>
              <w:t>2025年值</w:t>
            </w:r>
          </w:p>
        </w:tc>
        <w:tc>
          <w:tcPr>
            <w:tcW w:type="dxa" w:w="2040"/>
            <w:vAlign w:val="center"/>
          </w:tcPr>
          <w:p>
            <w:r>
              <w:rPr>
                <w:rFonts w:eastAsia="宋体" w:ascii="Times New Roman" w:hAnsi="Times New Roman" w:cs="Times New Roman"/>
                <w:b w:val="false"/>
                <w:i w:val="false"/>
                <w:sz w:val="22"/>
              </w:rPr>
              <w:t>同比变化</w:t>
            </w:r>
          </w:p>
        </w:tc>
        <w:tc>
          <w:tcPr>
            <w:tcW w:type="dxa" w:w="2040"/>
            <w:vAlign w:val="center"/>
          </w:tcPr>
          <w:p>
            <w:r>
              <w:rPr>
                <w:rFonts w:eastAsia="宋体" w:ascii="Times New Roman" w:hAnsi="Times New Roman" w:cs="Times New Roman"/>
                <w:b w:val="false"/>
                <w:i w:val="false"/>
                <w:sz w:val="22"/>
              </w:rPr>
              <w:t>2026年Q1值</w:t>
            </w:r>
          </w:p>
        </w:tc>
        <w:tc>
          <w:tcPr>
            <w:tcW w:type="dxa" w:w="2040"/>
            <w:vAlign w:val="center"/>
          </w:tcPr>
          <w:p>
            <w:r>
              <w:rPr>
                <w:rFonts w:eastAsia="宋体" w:ascii="Times New Roman" w:hAnsi="Times New Roman" w:cs="Times New Roman"/>
                <w:b w:val="false"/>
                <w:i w:val="false"/>
                <w:sz w:val="22"/>
              </w:rPr>
              <w:t>同比变化</w:t>
            </w:r>
          </w:p>
        </w:tc>
        <w:tc>
          <w:tcPr>
            <w:tcW w:type="dxa" w:w="2040"/>
            <w:vAlign w:val="center"/>
          </w:tcPr>
          <w:p>
            <w:r>
              <w:rPr>
                <w:rFonts w:eastAsia="宋体" w:ascii="Times New Roman" w:hAnsi="Times New Roman" w:cs="Times New Roman"/>
                <w:b w:val="false"/>
                <w:i w:val="false"/>
                <w:sz w:val="22"/>
              </w:rPr>
              <w:t>假设基准</w:t>
            </w:r>
          </w:p>
        </w:tc>
      </w:tr>
      <w:tr>
        <w:tc>
          <w:tcPr>
            <w:tcW w:type="dxa" w:w="2040"/>
            <w:vAlign w:val="center"/>
          </w:tcPr>
          <w:p>
            <w:r>
              <w:rPr>
                <w:rFonts w:eastAsia="宋体" w:ascii="Times New Roman" w:hAnsi="Times New Roman" w:cs="Times New Roman"/>
                <w:b w:val="false"/>
                <w:i w:val="false"/>
                <w:sz w:val="22"/>
              </w:rPr>
              <w:t>营业收入</w:t>
            </w:r>
          </w:p>
        </w:tc>
        <w:tc>
          <w:tcPr>
            <w:tcW w:type="dxa" w:w="2040"/>
            <w:vAlign w:val="center"/>
          </w:tcPr>
          <w:p>
            <w:r>
              <w:rPr>
                <w:rFonts w:eastAsia="宋体" w:ascii="Times New Roman" w:hAnsi="Times New Roman" w:cs="Times New Roman"/>
                <w:b w:val="false"/>
                <w:i w:val="false"/>
                <w:sz w:val="22"/>
              </w:rPr>
              <w:t>7.82亿元</w:t>
            </w:r>
          </w:p>
        </w:tc>
        <w:tc>
          <w:tcPr>
            <w:tcW w:type="dxa" w:w="2040"/>
            <w:vAlign w:val="center"/>
          </w:tcPr>
          <w:p>
            <w:r>
              <w:rPr>
                <w:rFonts w:eastAsia="宋体" w:ascii="Times New Roman" w:hAnsi="Times New Roman" w:cs="Times New Roman"/>
                <w:b w:val="false"/>
                <w:i w:val="false"/>
                <w:sz w:val="22"/>
              </w:rPr>
              <w:t>+42.91%</w:t>
            </w:r>
          </w:p>
        </w:tc>
        <w:tc>
          <w:tcPr>
            <w:tcW w:type="dxa" w:w="2040"/>
            <w:vAlign w:val="center"/>
          </w:tcPr>
          <w:p>
            <w:r>
              <w:rPr>
                <w:rFonts w:eastAsia="宋体" w:ascii="Times New Roman" w:hAnsi="Times New Roman" w:cs="Times New Roman"/>
                <w:b w:val="false"/>
                <w:i w:val="false"/>
                <w:sz w:val="22"/>
              </w:rPr>
              <w:t>1.47亿元</w:t>
            </w:r>
          </w:p>
        </w:tc>
        <w:tc>
          <w:tcPr>
            <w:tcW w:type="dxa" w:w="2040"/>
            <w:vAlign w:val="center"/>
          </w:tcPr>
          <w:p>
            <w:r>
              <w:rPr>
                <w:rFonts w:eastAsia="宋体" w:ascii="Times New Roman" w:hAnsi="Times New Roman" w:cs="Times New Roman"/>
                <w:b w:val="false"/>
                <w:i w:val="false"/>
                <w:sz w:val="22"/>
              </w:rPr>
              <w:t>+6.94%</w:t>
            </w:r>
          </w:p>
        </w:tc>
        <w:tc>
          <w:tcPr>
            <w:tcW w:type="dxa" w:w="2040"/>
            <w:vAlign w:val="center"/>
          </w:tcPr>
          <w:p>
            <w:r>
              <w:rPr>
                <w:rFonts w:eastAsia="宋体" w:ascii="Times New Roman" w:hAnsi="Times New Roman" w:cs="Times New Roman"/>
                <w:b w:val="false"/>
                <w:i w:val="false"/>
                <w:sz w:val="22"/>
              </w:rPr>
              <w:t>年均增长15-20%</w:t>
            </w:r>
          </w:p>
        </w:tc>
      </w:tr>
      <w:tr>
        <w:tc>
          <w:tcPr>
            <w:tcW w:type="dxa" w:w="2040"/>
            <w:vAlign w:val="center"/>
          </w:tcPr>
          <w:p>
            <w:r>
              <w:rPr>
                <w:rFonts w:eastAsia="宋体" w:ascii="Times New Roman" w:hAnsi="Times New Roman" w:cs="Times New Roman"/>
                <w:b w:val="false"/>
                <w:i w:val="false"/>
                <w:sz w:val="22"/>
              </w:rPr>
              <w:t>归母净利润</w:t>
            </w:r>
          </w:p>
        </w:tc>
        <w:tc>
          <w:tcPr>
            <w:tcW w:type="dxa" w:w="2040"/>
            <w:vAlign w:val="center"/>
          </w:tcPr>
          <w:p>
            <w:r>
              <w:rPr>
                <w:rFonts w:eastAsia="宋体" w:ascii="Times New Roman" w:hAnsi="Times New Roman" w:cs="Times New Roman"/>
                <w:b w:val="false"/>
                <w:i w:val="false"/>
                <w:sz w:val="22"/>
              </w:rPr>
              <w:t>-6922万元</w:t>
            </w:r>
          </w:p>
        </w:tc>
        <w:tc>
          <w:tcPr>
            <w:tcW w:type="dxa" w:w="2040"/>
            <w:vAlign w:val="center"/>
          </w:tcPr>
          <w:p>
            <w:r>
              <w:rPr>
                <w:rFonts w:eastAsia="宋体" w:ascii="Times New Roman" w:hAnsi="Times New Roman" w:cs="Times New Roman"/>
                <w:b w:val="false"/>
                <w:i w:val="false"/>
                <w:sz w:val="22"/>
              </w:rPr>
              <w:t>收窄51.58%</w:t>
            </w:r>
          </w:p>
        </w:tc>
        <w:tc>
          <w:tcPr>
            <w:tcW w:type="dxa" w:w="2040"/>
            <w:vAlign w:val="center"/>
          </w:tcPr>
          <w:p>
            <w:r>
              <w:rPr>
                <w:rFonts w:eastAsia="宋体" w:ascii="Times New Roman" w:hAnsi="Times New Roman" w:cs="Times New Roman"/>
                <w:b w:val="false"/>
                <w:i w:val="false"/>
                <w:sz w:val="22"/>
              </w:rPr>
              <w:t>-1196万元</w:t>
            </w:r>
          </w:p>
        </w:tc>
        <w:tc>
          <w:tcPr>
            <w:tcW w:type="dxa" w:w="2040"/>
            <w:vAlign w:val="center"/>
          </w:tcPr>
          <w:p>
            <w:r>
              <w:rPr>
                <w:rFonts w:eastAsia="宋体" w:ascii="Times New Roman" w:hAnsi="Times New Roman" w:cs="Times New Roman"/>
                <w:b w:val="false"/>
                <w:i w:val="false"/>
                <w:sz w:val="22"/>
              </w:rPr>
              <w:t>收窄31.17%</w:t>
            </w:r>
          </w:p>
        </w:tc>
        <w:tc>
          <w:tcPr>
            <w:tcW w:type="dxa" w:w="2040"/>
            <w:vAlign w:val="center"/>
          </w:tcPr>
          <w:p>
            <w:r>
              <w:rPr>
                <w:rFonts w:eastAsia="宋体" w:ascii="Times New Roman" w:hAnsi="Times New Roman" w:cs="Times New Roman"/>
                <w:b w:val="false"/>
                <w:i w:val="false"/>
                <w:sz w:val="22"/>
              </w:rPr>
              <w:t>逐步扭亏</w:t>
            </w:r>
          </w:p>
        </w:tc>
      </w:tr>
      <w:tr>
        <w:tc>
          <w:tcPr>
            <w:tcW w:type="dxa" w:w="2040"/>
            <w:vAlign w:val="center"/>
          </w:tcPr>
          <w:p>
            <w:r>
              <w:rPr>
                <w:rFonts w:eastAsia="宋体" w:ascii="Times New Roman" w:hAnsi="Times New Roman" w:cs="Times New Roman"/>
                <w:b w:val="false"/>
                <w:i w:val="false"/>
                <w:sz w:val="22"/>
              </w:rPr>
              <w:t>毛利率</w:t>
            </w:r>
          </w:p>
        </w:tc>
        <w:tc>
          <w:tcPr>
            <w:tcW w:type="dxa" w:w="2040"/>
            <w:vAlign w:val="center"/>
          </w:tcPr>
          <w:p>
            <w:r>
              <w:rPr>
                <w:rFonts w:eastAsia="宋体" w:ascii="Times New Roman" w:hAnsi="Times New Roman" w:cs="Times New Roman"/>
                <w:b w:val="false"/>
                <w:i w:val="false"/>
                <w:sz w:val="22"/>
              </w:rPr>
              <w:t>29.70%</w:t>
            </w:r>
          </w:p>
        </w:tc>
        <w:tc>
          <w:tcPr>
            <w:tcW w:type="dxa" w:w="2040"/>
            <w:vAlign w:val="center"/>
          </w:tcPr>
          <w:p>
            <w:r>
              <w:rPr>
                <w:rFonts w:eastAsia="宋体" w:ascii="Times New Roman" w:hAnsi="Times New Roman" w:cs="Times New Roman"/>
                <w:b w:val="false"/>
                <w:i w:val="false"/>
                <w:sz w:val="22"/>
              </w:rPr>
              <w:t>+0.10pp</w:t>
            </w:r>
          </w:p>
        </w:tc>
        <w:tc>
          <w:tcPr>
            <w:tcW w:type="dxa" w:w="2040"/>
            <w:vAlign w:val="center"/>
          </w:tcPr>
          <w:p>
            <w:r>
              <w:rPr>
                <w:rFonts w:eastAsia="宋体" w:ascii="Times New Roman" w:hAnsi="Times New Roman" w:cs="Times New Roman"/>
                <w:b w:val="false"/>
                <w:i w:val="false"/>
                <w:sz w:val="22"/>
              </w:rPr>
              <w:t>31.08%</w:t>
            </w:r>
          </w:p>
        </w:tc>
        <w:tc>
          <w:tcPr>
            <w:tcW w:type="dxa" w:w="2040"/>
            <w:vAlign w:val="center"/>
          </w:tcPr>
          <w:p>
            <w:r>
              <w:rPr>
                <w:rFonts w:eastAsia="宋体" w:ascii="Times New Roman" w:hAnsi="Times New Roman" w:cs="Times New Roman"/>
                <w:b w:val="false"/>
                <w:i w:val="false"/>
                <w:sz w:val="22"/>
              </w:rPr>
              <w:t>+0.21pp</w:t>
            </w:r>
          </w:p>
        </w:tc>
        <w:tc>
          <w:tcPr>
            <w:tcW w:type="dxa" w:w="2040"/>
            <w:vAlign w:val="center"/>
          </w:tcPr>
          <w:p>
            <w:r>
              <w:rPr>
                <w:rFonts w:eastAsia="宋体" w:ascii="Times New Roman" w:hAnsi="Times New Roman" w:cs="Times New Roman"/>
                <w:b w:val="false"/>
                <w:i w:val="false"/>
                <w:sz w:val="22"/>
              </w:rPr>
              <w:t>提升至32-35%</w:t>
            </w:r>
          </w:p>
        </w:tc>
      </w:tr>
      <w:tr>
        <w:tc>
          <w:tcPr>
            <w:tcW w:type="dxa" w:w="2040"/>
            <w:vAlign w:val="center"/>
          </w:tcPr>
          <w:p>
            <w:r>
              <w:rPr>
                <w:rFonts w:eastAsia="宋体" w:ascii="Times New Roman" w:hAnsi="Times New Roman" w:cs="Times New Roman"/>
                <w:b w:val="false"/>
                <w:i w:val="false"/>
                <w:sz w:val="22"/>
              </w:rPr>
              <w:t>研发费用占比</w:t>
            </w:r>
          </w:p>
        </w:tc>
        <w:tc>
          <w:tcPr>
            <w:tcW w:type="dxa" w:w="2040"/>
            <w:vAlign w:val="center"/>
          </w:tcPr>
          <w:p>
            <w:r>
              <w:rPr>
                <w:rFonts w:eastAsia="宋体" w:ascii="Times New Roman" w:hAnsi="Times New Roman" w:cs="Times New Roman"/>
                <w:b w:val="false"/>
                <w:i w:val="false"/>
                <w:sz w:val="22"/>
              </w:rPr>
              <w:t>23.48%</w:t>
            </w:r>
          </w:p>
        </w:tc>
        <w:tc>
          <w:tcPr>
            <w:tcW w:type="dxa" w:w="2040"/>
            <w:vAlign w:val="center"/>
          </w:tcPr>
          <w:p>
            <w:r>
              <w:rPr>
                <w:rFonts w:eastAsia="宋体" w:ascii="Times New Roman" w:hAnsi="Times New Roman" w:cs="Times New Roman"/>
                <w:b w:val="false"/>
                <w:i w:val="false"/>
                <w:sz w:val="22"/>
              </w:rPr>
              <w:t>-24.31%</w:t>
            </w:r>
          </w:p>
        </w:tc>
        <w:tc>
          <w:tcPr>
            <w:tcW w:type="dxa" w:w="2040"/>
            <w:vAlign w:val="center"/>
          </w:tcPr>
          <w:p>
            <w:r>
              <w:rPr>
                <w:rFonts w:eastAsia="宋体" w:ascii="Times New Roman" w:hAnsi="Times New Roman" w:cs="Times New Roman"/>
                <w:b w:val="false"/>
                <w:i w:val="false"/>
                <w:sz w:val="22"/>
              </w:rPr>
              <w:t>未披露</w:t>
            </w:r>
          </w:p>
        </w:tc>
        <w:tc>
          <w:tcPr>
            <w:tcW w:type="dxa" w:w="2040"/>
            <w:vAlign w:val="center"/>
          </w:tcPr>
          <w:p>
            <w:r>
              <w:rPr>
                <w:rFonts w:eastAsia="宋体" w:ascii="Times New Roman" w:hAnsi="Times New Roman" w:cs="Times New Roman"/>
                <w:b w:val="false"/>
                <w:i w:val="false"/>
                <w:sz w:val="22"/>
              </w:rPr>
              <w:t>-2.08%</w:t>
            </w:r>
          </w:p>
        </w:tc>
        <w:tc>
          <w:tcPr>
            <w:tcW w:type="dxa" w:w="2040"/>
            <w:vAlign w:val="center"/>
          </w:tcPr>
          <w:p>
            <w:r>
              <w:rPr>
                <w:rFonts w:eastAsia="宋体" w:ascii="Times New Roman" w:hAnsi="Times New Roman" w:cs="Times New Roman"/>
                <w:b w:val="false"/>
                <w:i w:val="false"/>
                <w:sz w:val="22"/>
              </w:rPr>
              <w:t>维持20-25%</w:t>
            </w:r>
          </w:p>
        </w:tc>
      </w:tr>
      <w:tr>
        <w:tc>
          <w:tcPr>
            <w:tcW w:type="dxa" w:w="2040"/>
            <w:vAlign w:val="center"/>
          </w:tcPr>
          <w:p>
            <w:r>
              <w:rPr>
                <w:rFonts w:eastAsia="宋体" w:ascii="Times New Roman" w:hAnsi="Times New Roman" w:cs="Times New Roman"/>
                <w:b w:val="false"/>
                <w:i w:val="false"/>
                <w:sz w:val="22"/>
              </w:rPr>
              <w:t>财务费用变动</w:t>
            </w:r>
          </w:p>
        </w:tc>
        <w:tc>
          <w:tcPr>
            <w:tcW w:type="dxa" w:w="2040"/>
            <w:vAlign w:val="center"/>
          </w:tcPr>
          <w:p>
            <w:r>
              <w:rPr>
                <w:rFonts w:eastAsia="宋体" w:ascii="Times New Roman" w:hAnsi="Times New Roman" w:cs="Times New Roman"/>
                <w:b w:val="false"/>
                <w:i w:val="false"/>
                <w:sz w:val="22"/>
              </w:rPr>
              <w:t>未披露</w:t>
            </w:r>
          </w:p>
        </w:tc>
        <w:tc>
          <w:tcPr>
            <w:tcW w:type="dxa" w:w="2040"/>
            <w:vAlign w:val="center"/>
          </w:tcPr>
          <w:p>
            <w:r>
              <w:rPr>
                <w:rFonts w:eastAsia="宋体" w:ascii="Times New Roman" w:hAnsi="Times New Roman" w:cs="Times New Roman"/>
                <w:b w:val="false"/>
                <w:i w:val="false"/>
                <w:sz w:val="22"/>
              </w:rPr>
              <w:t>未披露</w:t>
            </w:r>
          </w:p>
        </w:tc>
        <w:tc>
          <w:tcPr>
            <w:tcW w:type="dxa" w:w="2040"/>
            <w:vAlign w:val="center"/>
          </w:tcPr>
          <w:p>
            <w:r>
              <w:rPr>
                <w:rFonts w:eastAsia="宋体" w:ascii="Times New Roman" w:hAnsi="Times New Roman" w:cs="Times New Roman"/>
                <w:b w:val="false"/>
                <w:i w:val="false"/>
                <w:sz w:val="22"/>
              </w:rPr>
              <w:t>显著增加</w:t>
            </w:r>
          </w:p>
        </w:tc>
        <w:tc>
          <w:tcPr>
            <w:tcW w:type="dxa" w:w="2040"/>
            <w:vAlign w:val="center"/>
          </w:tcPr>
          <w:p>
            <w:r>
              <w:rPr>
                <w:rFonts w:eastAsia="宋体" w:ascii="Times New Roman" w:hAnsi="Times New Roman" w:cs="Times New Roman"/>
                <w:b w:val="false"/>
                <w:i w:val="false"/>
                <w:sz w:val="22"/>
              </w:rPr>
              <w:t>+408.76%</w:t>
            </w:r>
          </w:p>
        </w:tc>
        <w:tc>
          <w:tcPr>
            <w:tcW w:type="dxa" w:w="2040"/>
            <w:vAlign w:val="center"/>
          </w:tcPr>
          <w:p>
            <w:r>
              <w:rPr>
                <w:rFonts w:eastAsia="宋体" w:ascii="Times New Roman" w:hAnsi="Times New Roman" w:cs="Times New Roman"/>
                <w:b w:val="false"/>
                <w:i w:val="false"/>
                <w:sz w:val="22"/>
              </w:rPr>
              <w:t>控制增幅&lt;50%</w:t>
            </w:r>
          </w:p>
        </w:tc>
      </w:tr>
    </w:tbl>
    <w:p>
      <w:pPr>
        <w:spacing w:line="240" w:lineRule="auto" w:before="120" w:after="120"/>
        <w:ind w:firstLine="0"/>
        <w:jc w:val="left"/>
      </w:pPr>
      <w:r>
        <w:rPr>
          <w:rFonts w:eastAsia="宋体" w:ascii="Times New Roman" w:hAnsi="Times New Roman" w:cs="Times New Roman"/>
          <w:b w:val="false"/>
          <w:i w:val="true"/>
          <w:sz w:val="22"/>
        </w:rPr>
        <w:t>表格数据综合自华力创通2025年报及2026年一季报披露信息</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true"/>
          <w:sz w:val="22"/>
        </w:rPr>
        <w:t>。</w:t>
      </w:r>
    </w:p>
    <w:p>
      <w:pPr>
        <w:spacing w:line="240" w:lineRule="auto" w:before="120" w:after="120"/>
        <w:ind w:firstLine="0"/>
        <w:jc w:val="left"/>
      </w:pPr>
      <w:r>
        <w:rPr>
          <w:rFonts w:eastAsia="宋体" w:ascii="Times New Roman" w:hAnsi="Times New Roman" w:cs="Times New Roman"/>
          <w:b w:val="false"/>
          <w:i w:val="false"/>
          <w:sz w:val="22"/>
        </w:rPr>
        <w:t>现金流与资产质量影响盈利可持续性假设。2025年经营活动现金流净额1.88亿元、同比下降31.37%，显著高于净利润绝对值，反映回款能力支撑运营基础</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；但2026年一季度现金流净额-7015万元、同比降287.0%，暴露短期流动性风险</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。假设未来现金流改善依赖于应收账款管理优化（2026年Q1应收款余额4.23亿元、同比增长10%）和存货减值控制（2025年存货6.28亿元存在减值风险）</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rPr>
        <w:t>。同时，负债率35.95%（高于行业平均34.25%）和流动比率1.76需纳入偿债能力约束，假设资本结构稳健化以避免财务费用侵蚀利润</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外部环境与战略执行构成核心变量。公司持续深耕卫星应用、仿真测试等四大领域，构建完整产业链，并通过技术创新（如高毛利芯片放量）提升竞争力，假设卫星应用业务维持50%以上增速驱动整体增长</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。市场拓展方面，积极布局消费电子客户以分散集中风险（2025年大额订单波动显著），假设在手订单交付率提升至90%以上</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rPr>
        <w:t>。行业层面，“太空经济”及政策支持提供增长红利，但竞争加剧可能压制定价能力，需保守假设营收增速边际放缓</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rPr>
        <w:t>。盈利预测需纳入敏感性分析，如营收增长10-20%对应净利润弹性，及费用率变动±5%对亏损收窄幅度的影响</w:t>
      </w:r>
      <w:r>
        <w:rPr>
          <w:rFonts w:eastAsia="宋体" w:ascii="Times New Roman" w:hAnsi="Times New Roman" w:cs="Times New Roman"/>
          <w:b w:val="false"/>
          <w:i w:val="false"/>
          <w:sz w:val="22"/>
          <w:vertAlign w:val="superscript"/>
        </w:rPr>
        <w:t>[64]</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4.2 估值水平与同业比较</w:t>
      </w:r>
    </w:p>
    <w:p>
      <w:pPr>
        <w:spacing w:line="240" w:lineRule="auto" w:before="120" w:after="120"/>
        <w:ind w:left="0"/>
        <w:jc w:val="left"/>
      </w:pPr>
      <w:r>
        <w:rPr>
          <w:rFonts w:eastAsia="宋体" w:ascii="宋体" w:hAnsi="宋体" w:cs="宋体"/>
          <w:b w:val="true"/>
          <w:i w:val="false"/>
          <w:sz w:val="24"/>
        </w:rPr>
        <w:t>估值水平与同业比较</w:t>
      </w:r>
    </w:p>
    <w:p>
      <w:pPr>
        <w:spacing w:line="240" w:lineRule="auto" w:before="120" w:after="120"/>
        <w:ind w:firstLine="0"/>
        <w:jc w:val="left"/>
      </w:pPr>
      <w:r>
        <w:rPr>
          <w:rFonts w:eastAsia="宋体" w:ascii="Times New Roman" w:hAnsi="Times New Roman" w:cs="Times New Roman"/>
          <w:b w:val="false"/>
          <w:i w:val="false"/>
          <w:sz w:val="22"/>
        </w:rPr>
        <w:t>华力创通当前估值呈现显著分化特征。以2026年一季度财报数据为基准，公司市盈率（TTM）为-220.38倍，市净率（LF）为9.27倍，市销率（TTM）为17.77倍</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 xml:space="preserve">。横向对比军工电子行业（申万二级分类），行业平均市净率为3.75倍，中位数为3.61倍，而华力创通市净率（7.60倍）超行业均值103%，较行业龙头中航光电（PB 4.44倍）溢价率达71% </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[65]</w:t>
      </w:r>
      <w:r>
        <w:rPr>
          <w:rFonts w:eastAsia="宋体" w:ascii="Times New Roman" w:hAnsi="Times New Roman" w:cs="Times New Roman"/>
          <w:b w:val="false"/>
          <w:i w:val="false"/>
          <w:sz w:val="22"/>
        </w:rPr>
        <w:t>。在已披露同业数据的62家公司中，公司市净率排名高居第3位，但净资产收益率（ROE）为-0.79%，位列行业倒数第2</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vertAlign w:val="superscript"/>
        </w:rPr>
        <w:t>[37]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从历史分位数看，当前估值处于高位区间。过去5年市净率分位点为27.71%，市盈率TTM因持续亏损无有效参考值</w:t>
      </w:r>
      <w:r>
        <w:rPr>
          <w:rFonts w:eastAsia="宋体" w:ascii="Times New Roman" w:hAnsi="Times New Roman" w:cs="Times New Roman"/>
          <w:b w:val="false"/>
          <w:i w:val="false"/>
          <w:sz w:val="22"/>
          <w:vertAlign w:val="superscript"/>
        </w:rPr>
        <w:t>[66]</w:t>
      </w:r>
      <w:r>
        <w:rPr>
          <w:rFonts w:eastAsia="宋体" w:ascii="Times New Roman" w:hAnsi="Times New Roman" w:cs="Times New Roman"/>
          <w:b w:val="false"/>
          <w:i w:val="false"/>
          <w:sz w:val="22"/>
          <w:vertAlign w:val="superscript"/>
        </w:rPr>
        <w:t>[67]</w:t>
      </w:r>
      <w:r>
        <w:rPr>
          <w:rFonts w:eastAsia="宋体" w:ascii="Times New Roman" w:hAnsi="Times New Roman" w:cs="Times New Roman"/>
          <w:b w:val="false"/>
          <w:i w:val="false"/>
          <w:sz w:val="22"/>
        </w:rPr>
        <w:t>。估值溢价主要源于市场对卫星通信业务的成长预期，但财务基本面支撑薄弱：2025年毛利率29.70%低于行业均值34.74%，资产负债率35.95%高于行业平均34.25%，叠加连续亏损（2025年归母净利润-6922万元），导致估值与盈利指标显著背离</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[68]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同业估值核心指标对比（截至2026Q1）</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true"/>
                <w:i w:val="false"/>
                <w:sz w:val="22"/>
              </w:rPr>
              <w:t>公司名称</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市净率(LF)</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毛利率</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ROE</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行业排名</w:t>
            </w:r>
            <w:r>
              <w:rPr>
                <w:rFonts w:eastAsia="宋体" w:ascii="Times New Roman" w:hAnsi="Times New Roman" w:cs="Times New Roman"/>
                <w:b w:val="false"/>
                <w:i w:val="false"/>
                <w:sz w:val="22"/>
              </w:rPr>
              <w:t/>
            </w:r>
          </w:p>
        </w:tc>
      </w:tr>
      <w:tr>
        <w:tc>
          <w:tcPr>
            <w:tcW w:type="dxa" w:w="2448"/>
            <w:vAlign w:val="center"/>
          </w:tcPr>
          <w:p>
            <w:r>
              <w:rPr>
                <w:rFonts w:eastAsia="宋体" w:ascii="Times New Roman" w:hAnsi="Times New Roman" w:cs="Times New Roman"/>
                <w:b w:val="true"/>
                <w:i w:val="false"/>
                <w:sz w:val="22"/>
              </w:rPr>
              <w:t>华力创通</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9.27</w:t>
            </w:r>
          </w:p>
        </w:tc>
        <w:tc>
          <w:tcPr>
            <w:tcW w:type="dxa" w:w="2448"/>
            <w:vAlign w:val="center"/>
          </w:tcPr>
          <w:p>
            <w:r>
              <w:rPr>
                <w:rFonts w:eastAsia="宋体" w:ascii="Times New Roman" w:hAnsi="Times New Roman" w:cs="Times New Roman"/>
                <w:b w:val="false"/>
                <w:i w:val="false"/>
                <w:sz w:val="22"/>
              </w:rPr>
              <w:t>31.08%</w:t>
            </w:r>
          </w:p>
        </w:tc>
        <w:tc>
          <w:tcPr>
            <w:tcW w:type="dxa" w:w="2448"/>
            <w:vAlign w:val="center"/>
          </w:tcPr>
          <w:p>
            <w:r>
              <w:rPr>
                <w:rFonts w:eastAsia="宋体" w:ascii="Times New Roman" w:hAnsi="Times New Roman" w:cs="Times New Roman"/>
                <w:b w:val="false"/>
                <w:i w:val="false"/>
                <w:sz w:val="22"/>
              </w:rPr>
              <w:t>-0.79%</w:t>
            </w:r>
          </w:p>
        </w:tc>
        <w:tc>
          <w:tcPr>
            <w:tcW w:type="dxa" w:w="2448"/>
            <w:vAlign w:val="center"/>
          </w:tcPr>
          <w:p>
            <w:r>
              <w:rPr>
                <w:rFonts w:eastAsia="宋体" w:ascii="Times New Roman" w:hAnsi="Times New Roman" w:cs="Times New Roman"/>
                <w:b w:val="false"/>
                <w:i w:val="false"/>
                <w:sz w:val="22"/>
              </w:rPr>
              <w:t>31/62</w:t>
            </w:r>
          </w:p>
        </w:tc>
      </w:tr>
      <w:tr>
        <w:tc>
          <w:tcPr>
            <w:tcW w:type="dxa" w:w="2448"/>
            <w:vAlign w:val="center"/>
          </w:tcPr>
          <w:p>
            <w:r>
              <w:rPr>
                <w:rFonts w:eastAsia="宋体" w:ascii="Times New Roman" w:hAnsi="Times New Roman" w:cs="Times New Roman"/>
                <w:b w:val="true"/>
                <w:i w:val="false"/>
                <w:sz w:val="22"/>
              </w:rPr>
              <w:t>行业平均</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3.75</w:t>
            </w:r>
          </w:p>
        </w:tc>
        <w:tc>
          <w:tcPr>
            <w:tcW w:type="dxa" w:w="2448"/>
            <w:vAlign w:val="center"/>
          </w:tcPr>
          <w:p>
            <w:r>
              <w:rPr>
                <w:rFonts w:eastAsia="宋体" w:ascii="Times New Roman" w:hAnsi="Times New Roman" w:cs="Times New Roman"/>
                <w:b w:val="false"/>
                <w:i w:val="false"/>
                <w:sz w:val="22"/>
              </w:rPr>
              <w:t>34.74%</w:t>
            </w:r>
          </w:p>
        </w:tc>
        <w:tc>
          <w:tcPr>
            <w:tcW w:type="dxa" w:w="2448"/>
            <w:vAlign w:val="center"/>
          </w:tcPr>
          <w:p>
            <w:r>
              <w:rPr>
                <w:rFonts w:eastAsia="宋体" w:ascii="Times New Roman" w:hAnsi="Times New Roman" w:cs="Times New Roman"/>
                <w:b w:val="false"/>
                <w:i w:val="false"/>
                <w:sz w:val="22"/>
              </w:rPr>
              <w:t>4.50%*</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true"/>
                <w:i w:val="false"/>
                <w:sz w:val="22"/>
              </w:rPr>
              <w:t>中航光电</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4.44</w:t>
            </w:r>
          </w:p>
        </w:tc>
        <w:tc>
          <w:tcPr>
            <w:tcW w:type="dxa" w:w="2448"/>
            <w:vAlign w:val="center"/>
          </w:tcPr>
          <w:p>
            <w:r>
              <w:rPr>
                <w:rFonts w:eastAsia="宋体" w:ascii="Times New Roman" w:hAnsi="Times New Roman" w:cs="Times New Roman"/>
                <w:b w:val="false"/>
                <w:i w:val="false"/>
                <w:sz w:val="22"/>
              </w:rPr>
              <w:t>34.85%</w:t>
            </w:r>
          </w:p>
        </w:tc>
        <w:tc>
          <w:tcPr>
            <w:tcW w:type="dxa" w:w="2448"/>
            <w:vAlign w:val="center"/>
          </w:tcPr>
          <w:p>
            <w:r>
              <w:rPr>
                <w:rFonts w:eastAsia="宋体" w:ascii="Times New Roman" w:hAnsi="Times New Roman" w:cs="Times New Roman"/>
                <w:b w:val="false"/>
                <w:i w:val="false"/>
                <w:sz w:val="22"/>
              </w:rPr>
              <w:t>8.20%*</w:t>
            </w:r>
          </w:p>
        </w:tc>
        <w:tc>
          <w:tcPr>
            <w:tcW w:type="dxa" w:w="2448"/>
            <w:vAlign w:val="center"/>
          </w:tcPr>
          <w:p>
            <w:r>
              <w:rPr>
                <w:rFonts w:eastAsia="宋体" w:ascii="Times New Roman" w:hAnsi="Times New Roman" w:cs="Times New Roman"/>
                <w:b w:val="false"/>
                <w:i w:val="false"/>
                <w:sz w:val="22"/>
              </w:rPr>
              <w:t>1/62</w:t>
            </w:r>
          </w:p>
        </w:tc>
      </w:tr>
      <w:tr>
        <w:tc>
          <w:tcPr>
            <w:tcW w:type="dxa" w:w="2448"/>
            <w:vAlign w:val="center"/>
          </w:tcPr>
          <w:p>
            <w:r>
              <w:rPr>
                <w:rFonts w:eastAsia="宋体" w:ascii="Times New Roman" w:hAnsi="Times New Roman" w:cs="Times New Roman"/>
                <w:b w:val="true"/>
                <w:i w:val="false"/>
                <w:sz w:val="22"/>
              </w:rPr>
              <w:t>合众思壮</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4.09</w:t>
            </w:r>
          </w:p>
        </w:tc>
        <w:tc>
          <w:tcPr>
            <w:tcW w:type="dxa" w:w="2448"/>
            <w:vAlign w:val="center"/>
          </w:tcPr>
          <w:p>
            <w:r>
              <w:rPr>
                <w:rFonts w:eastAsia="宋体" w:ascii="Times New Roman" w:hAnsi="Times New Roman" w:cs="Times New Roman"/>
                <w:b w:val="false"/>
                <w:i w:val="false"/>
                <w:sz w:val="22"/>
              </w:rPr>
              <w:t>32.10%*</w:t>
            </w:r>
          </w:p>
        </w:tc>
        <w:tc>
          <w:tcPr>
            <w:tcW w:type="dxa" w:w="2448"/>
            <w:vAlign w:val="center"/>
          </w:tcPr>
          <w:p>
            <w:r>
              <w:rPr>
                <w:rFonts w:eastAsia="宋体" w:ascii="Times New Roman" w:hAnsi="Times New Roman" w:cs="Times New Roman"/>
                <w:b w:val="false"/>
                <w:i w:val="false"/>
                <w:sz w:val="22"/>
              </w:rPr>
              <w:t>-3.20%*</w:t>
            </w:r>
          </w:p>
        </w:tc>
        <w:tc>
          <w:tcPr>
            <w:tcW w:type="dxa" w:w="2448"/>
            <w:vAlign w:val="center"/>
          </w:tcPr>
          <w:p>
            <w:r>
              <w:rPr>
                <w:rFonts w:eastAsia="宋体" w:ascii="Times New Roman" w:hAnsi="Times New Roman" w:cs="Times New Roman"/>
                <w:b w:val="false"/>
                <w:i w:val="false"/>
                <w:sz w:val="22"/>
              </w:rPr>
              <w:t>45/62</w:t>
            </w:r>
          </w:p>
        </w:tc>
      </w:tr>
      <w:tr>
        <w:tc>
          <w:tcPr>
            <w:tcW w:type="dxa" w:w="2448"/>
            <w:vAlign w:val="center"/>
          </w:tcPr>
          <w:p>
            <w:r>
              <w:rPr>
                <w:rFonts w:eastAsia="宋体" w:ascii="Times New Roman" w:hAnsi="Times New Roman" w:cs="Times New Roman"/>
                <w:b w:val="true"/>
                <w:i w:val="false"/>
                <w:sz w:val="22"/>
              </w:rPr>
              <w:t>司南导航</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2.67</w:t>
            </w:r>
          </w:p>
        </w:tc>
        <w:tc>
          <w:tcPr>
            <w:tcW w:type="dxa" w:w="2448"/>
            <w:vAlign w:val="center"/>
          </w:tcPr>
          <w:p>
            <w:r>
              <w:rPr>
                <w:rFonts w:eastAsia="宋体" w:ascii="Times New Roman" w:hAnsi="Times New Roman" w:cs="Times New Roman"/>
                <w:b w:val="false"/>
                <w:i w:val="false"/>
                <w:sz w:val="22"/>
              </w:rPr>
              <w:t>48.50%*</w:t>
            </w:r>
          </w:p>
        </w:tc>
        <w:tc>
          <w:tcPr>
            <w:tcW w:type="dxa" w:w="2448"/>
            <w:vAlign w:val="center"/>
          </w:tcPr>
          <w:p>
            <w:r>
              <w:rPr>
                <w:rFonts w:eastAsia="宋体" w:ascii="Times New Roman" w:hAnsi="Times New Roman" w:cs="Times New Roman"/>
                <w:b w:val="false"/>
                <w:i w:val="false"/>
                <w:sz w:val="22"/>
              </w:rPr>
              <w:t>-5.10%*</w:t>
            </w:r>
          </w:p>
        </w:tc>
        <w:tc>
          <w:tcPr>
            <w:tcW w:type="dxa" w:w="2448"/>
            <w:vAlign w:val="center"/>
          </w:tcPr>
          <w:p>
            <w:r>
              <w:rPr>
                <w:rFonts w:eastAsia="宋体" w:ascii="Times New Roman" w:hAnsi="Times New Roman" w:cs="Times New Roman"/>
                <w:b w:val="false"/>
                <w:i w:val="false"/>
                <w:sz w:val="22"/>
              </w:rPr>
              <w:t>50/62</w:t>
            </w:r>
          </w:p>
        </w:tc>
      </w:tr>
    </w:tbl>
    <w:p>
      <w:pPr>
        <w:spacing w:line="240" w:lineRule="auto" w:before="120" w:after="120"/>
        <w:ind w:firstLine="0"/>
        <w:jc w:val="left"/>
      </w:pPr>
      <w:r>
        <w:rPr>
          <w:rFonts w:eastAsia="宋体" w:ascii="Times New Roman" w:hAnsi="Times New Roman" w:cs="Times New Roman"/>
          <w:b w:val="false"/>
          <w:i w:val="false"/>
          <w:sz w:val="22"/>
        </w:rPr>
        <w:t>（注：*为2025年年报数据；行业排名按ROE降序；数据来源：证券之星、同花顺、界面新闻</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vertAlign w:val="superscript"/>
        </w:rPr>
        <w:t>[37]</w:t>
      </w:r>
      <w:r>
        <w:rPr>
          <w:rFonts w:eastAsia="宋体" w:ascii="Times New Roman" w:hAnsi="Times New Roman" w:cs="Times New Roman"/>
          <w:b w:val="false"/>
          <w:i w:val="false"/>
          <w:sz w:val="22"/>
          <w:vertAlign w:val="superscript"/>
        </w:rPr>
        <w:t>[65]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风险溢价方面，公司面临三重压力：</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资产质量风险</w:t>
      </w:r>
      <w:r>
        <w:rPr>
          <w:rFonts w:eastAsia="宋体" w:ascii="Times New Roman" w:hAnsi="Times New Roman" w:cs="Times New Roman"/>
          <w:b w:val="false"/>
          <w:i w:val="false"/>
          <w:sz w:val="22"/>
        </w:rPr>
        <w:t>：无形资产占比达20.4%（4.97亿元），存货规模超营收103%，存在减值压力</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[69]</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现金流压力</w:t>
      </w:r>
      <w:r>
        <w:rPr>
          <w:rFonts w:eastAsia="宋体" w:ascii="Times New Roman" w:hAnsi="Times New Roman" w:cs="Times New Roman"/>
          <w:b w:val="false"/>
          <w:i w:val="false"/>
          <w:sz w:val="22"/>
        </w:rPr>
        <w:t>：2026Q1经营活动现金流净额-7014.74万元，同比恶化287%，流动性比率仅1.76，偿债能力处于行业尾部</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盈利预测偏差</w:t>
      </w:r>
      <w:r>
        <w:rPr>
          <w:rFonts w:eastAsia="宋体" w:ascii="Times New Roman" w:hAnsi="Times New Roman" w:cs="Times New Roman"/>
          <w:b w:val="false"/>
          <w:i w:val="false"/>
          <w:sz w:val="22"/>
        </w:rPr>
        <w:t>：尽管部分机构给出2025年1600万元净利润预测（对应PE 737倍），但实际2025年亏损扩大至6922万元，预期修正风险高企</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[68]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市场争议焦点集中于卫星通信业务估值溢价合理性。虽然公司卡位天通卫星芯片（华为终端供应商）及北斗军品市场，但2025年卫星通信业务收入占比仅30%，尚未形成规模效应</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。当前市销率（9.4倍）虽低于卫星产业链均值12倍，但显著高于军工电子板块（平均PS 3.2倍），且缺乏持续订单佐证</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vertAlign w:val="superscript"/>
        </w:rPr>
        <w:t>[70]</w:t>
      </w:r>
      <w:r>
        <w:rPr>
          <w:rFonts w:eastAsia="宋体" w:ascii="Times New Roman" w:hAnsi="Times New Roman" w:cs="Times New Roman"/>
          <w:b w:val="false"/>
          <w:i w:val="false"/>
          <w:sz w:val="22"/>
        </w:rPr>
        <w:t>。需警惕若GW星座招标延迟或军品降价20%-30%（如北斗四代集采），估值溢价可能快速收敛</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5. 机构持股与市场情绪</w:t>
      </w:r>
    </w:p>
    <w:p>
      <w:pPr>
        <w:pStyle w:val="EM_H2_STYLE"/>
        <w:spacing w:line="240" w:lineRule="auto" w:before="120" w:after="120"/>
        <w:ind w:left="0"/>
        <w:jc w:val="left"/>
      </w:pPr>
      <w:r>
        <w:rPr>
          <w:rFonts w:eastAsia="宋体" w:ascii="宋体" w:hAnsi="宋体" w:cs="宋体"/>
          <w:b w:val="true"/>
          <w:i w:val="false"/>
          <w:sz w:val="28"/>
        </w:rPr>
        <w:t>5.1 机构投资者持仓变化</w:t>
      </w:r>
    </w:p>
    <w:p>
      <w:pPr>
        <w:spacing w:line="240" w:lineRule="auto" w:before="120" w:after="120"/>
        <w:ind w:firstLine="0"/>
        <w:jc w:val="left"/>
      </w:pPr>
      <w:r>
        <w:rPr>
          <w:rFonts w:eastAsia="宋体" w:ascii="Times New Roman" w:hAnsi="Times New Roman" w:cs="Times New Roman"/>
          <w:b w:val="false"/>
          <w:i w:val="false"/>
          <w:sz w:val="22"/>
        </w:rPr>
        <w:t>截至2026年一季度末，华力创通的机构投资者持仓呈现显著结构性调整。十大流通股东中，蔡毛泉、平安中证卫星产业指数型证券投资基金（025490）、华夏国证航天航空行业交易型开放式指数证券投资基金（159227）及吴培侠新进入列，合计持股比例达1.84%，取代了南方中证1000ETF（512100）、华夏中证1000ETF（159845）、广发中证1000ETF（560010）及李圆等退出股东</w:t>
      </w:r>
      <w:r>
        <w:rPr>
          <w:rFonts w:eastAsia="宋体" w:ascii="Times New Roman" w:hAnsi="Times New Roman" w:cs="Times New Roman"/>
          <w:b w:val="false"/>
          <w:i w:val="false"/>
          <w:sz w:val="22"/>
          <w:vertAlign w:val="superscript"/>
        </w:rPr>
        <w:t>[71]</w:t>
      </w:r>
      <w:r>
        <w:rPr>
          <w:rFonts w:eastAsia="宋体" w:ascii="Times New Roman" w:hAnsi="Times New Roman" w:cs="Times New Roman"/>
          <w:b w:val="false"/>
          <w:i w:val="false"/>
          <w:sz w:val="22"/>
        </w:rPr>
        <w:t>。具体变动显示：王琦持股量环比增长59.6%至1900.84万股（占比2.87%），永赢国证商用卫星通信产业ETF（159206）持股激增174.57%至1391.77万股（占比2.10%）；而熊运鸿减持7.5%至1966.54万股（占比2.97%），香港中央结算有限公司（北向资金）减持17.29%至544.47万股（占比0.82%），国泰中证军工ETF（512660）减持7.23%至314.87万股（占比0.48%）</w:t>
      </w:r>
      <w:r>
        <w:rPr>
          <w:rFonts w:eastAsia="宋体" w:ascii="Times New Roman" w:hAnsi="Times New Roman" w:cs="Times New Roman"/>
          <w:b w:val="false"/>
          <w:i w:val="false"/>
          <w:sz w:val="22"/>
          <w:vertAlign w:val="superscript"/>
        </w:rPr>
        <w:t>[72]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公募基金操作呈现分化态势。2025年四季度至2026年一季度期间，7家公募基金增持0.59%，以卫星ETF永赢、华夏中证1000ETF、南方中证1000ETF为主；6家公募减持0.52%，其中国泰中证军工ETF、广发中证军工ETF减持显著</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。新披露的100只公募基金中，富国中证军工指数A、华夏国证航天航空行业ETF等成为主力，而永赢国证通用航空产业ETF发起联接A成为唯一再披露产品</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 xml:space="preserve">。外资方面，香港中央结算有限公司成为当季唯一增持的外资机构，增持幅度0.51% </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股东结构变化引发市场参与主体更替。散户资金逆势流入推动股东户数增至9.62万户，环比增长4.25%，但户均流通股降至5439股，显示筹码分散化趋势</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rPr>
        <w:t>。与此对应，机构投资者总数从2025年末的114家降至未披露状态，前十大机构持仓占比从4.65%降至未明确数据，环比下跌0.41个百分点</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二级市场波动加剧机构持仓浮亏。2026年4月下旬股价连续5日下跌7.3%期间，华夏国证航天航空行业ETF（159227）持仓234.83万股浮亏410.96万元，富国国证通用航空产业ETF（159392）持仓26.68万股浮亏46.69万元，中欧国证通用航空产业指数发起A（024348）持仓5.96万股浮亏10.43万元</w:t>
      </w:r>
      <w:r>
        <w:rPr>
          <w:rFonts w:eastAsia="宋体" w:ascii="Times New Roman" w:hAnsi="Times New Roman" w:cs="Times New Roman"/>
          <w:b w:val="false"/>
          <w:i w:val="false"/>
          <w:sz w:val="22"/>
          <w:vertAlign w:val="superscript"/>
        </w:rPr>
        <w:t>[74]</w:t>
      </w:r>
      <w:r>
        <w:rPr>
          <w:rFonts w:eastAsia="宋体" w:ascii="Times New Roman" w:hAnsi="Times New Roman" w:cs="Times New Roman"/>
          <w:b w:val="false"/>
          <w:i w:val="false"/>
          <w:sz w:val="22"/>
          <w:vertAlign w:val="superscript"/>
        </w:rPr>
        <w:t>[75]</w:t>
      </w:r>
      <w:r>
        <w:rPr>
          <w:rFonts w:eastAsia="宋体" w:ascii="Times New Roman" w:hAnsi="Times New Roman" w:cs="Times New Roman"/>
          <w:b w:val="false"/>
          <w:i w:val="false"/>
          <w:sz w:val="22"/>
          <w:vertAlign w:val="superscript"/>
        </w:rPr>
        <w:t>[76]</w:t>
      </w:r>
      <w:r>
        <w:rPr>
          <w:rFonts w:eastAsia="宋体" w:ascii="Times New Roman" w:hAnsi="Times New Roman" w:cs="Times New Roman"/>
          <w:b w:val="false"/>
          <w:i w:val="false"/>
          <w:sz w:val="22"/>
        </w:rPr>
        <w:t>。同期融资余额维持在9亿元量级，4月28日融资买入2669.31万元，显示杠杆资金活跃度未减</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2026年一季度十大流通股东变动概览</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false"/>
                <w:i w:val="false"/>
                <w:sz w:val="22"/>
              </w:rPr>
              <w:t>股东名称</w:t>
            </w:r>
          </w:p>
        </w:tc>
        <w:tc>
          <w:tcPr>
            <w:tcW w:type="dxa" w:w="2448"/>
            <w:vAlign w:val="center"/>
          </w:tcPr>
          <w:p>
            <w:r>
              <w:rPr>
                <w:rFonts w:eastAsia="宋体" w:ascii="Times New Roman" w:hAnsi="Times New Roman" w:cs="Times New Roman"/>
                <w:b w:val="false"/>
                <w:i w:val="false"/>
                <w:sz w:val="22"/>
              </w:rPr>
              <w:t>持股数（万股）</w:t>
            </w:r>
          </w:p>
        </w:tc>
        <w:tc>
          <w:tcPr>
            <w:tcW w:type="dxa" w:w="2448"/>
            <w:vAlign w:val="center"/>
          </w:tcPr>
          <w:p>
            <w:r>
              <w:rPr>
                <w:rFonts w:eastAsia="宋体" w:ascii="Times New Roman" w:hAnsi="Times New Roman" w:cs="Times New Roman"/>
                <w:b w:val="false"/>
                <w:i w:val="false"/>
                <w:sz w:val="22"/>
              </w:rPr>
              <w:t>占总股本比例(%)</w:t>
            </w:r>
          </w:p>
        </w:tc>
        <w:tc>
          <w:tcPr>
            <w:tcW w:type="dxa" w:w="2448"/>
            <w:vAlign w:val="center"/>
          </w:tcPr>
          <w:p>
            <w:r>
              <w:rPr>
                <w:rFonts w:eastAsia="宋体" w:ascii="Times New Roman" w:hAnsi="Times New Roman" w:cs="Times New Roman"/>
                <w:b w:val="false"/>
                <w:i w:val="false"/>
                <w:sz w:val="22"/>
              </w:rPr>
              <w:t>变动方向</w:t>
            </w:r>
          </w:p>
        </w:tc>
        <w:tc>
          <w:tcPr>
            <w:tcW w:type="dxa" w:w="2448"/>
            <w:vAlign w:val="center"/>
          </w:tcPr>
          <w:p>
            <w:r>
              <w:rPr>
                <w:rFonts w:eastAsia="宋体" w:ascii="Times New Roman" w:hAnsi="Times New Roman" w:cs="Times New Roman"/>
                <w:b w:val="false"/>
                <w:i w:val="false"/>
                <w:sz w:val="22"/>
              </w:rPr>
              <w:t>变动幅度</w:t>
            </w:r>
          </w:p>
        </w:tc>
      </w:tr>
      <w:tr>
        <w:tc>
          <w:tcPr>
            <w:tcW w:type="dxa" w:w="2448"/>
            <w:vAlign w:val="center"/>
          </w:tcPr>
          <w:p>
            <w:r>
              <w:rPr>
                <w:rFonts w:eastAsia="宋体" w:ascii="Times New Roman" w:hAnsi="Times New Roman" w:cs="Times New Roman"/>
                <w:b w:val="false"/>
                <w:i w:val="false"/>
                <w:sz w:val="22"/>
              </w:rPr>
              <w:t>王琦</w:t>
            </w:r>
          </w:p>
        </w:tc>
        <w:tc>
          <w:tcPr>
            <w:tcW w:type="dxa" w:w="2448"/>
            <w:vAlign w:val="center"/>
          </w:tcPr>
          <w:p>
            <w:r>
              <w:rPr>
                <w:rFonts w:eastAsia="宋体" w:ascii="Times New Roman" w:hAnsi="Times New Roman" w:cs="Times New Roman"/>
                <w:b w:val="false"/>
                <w:i w:val="false"/>
                <w:sz w:val="22"/>
              </w:rPr>
              <w:t>1900.84</w:t>
            </w:r>
          </w:p>
        </w:tc>
        <w:tc>
          <w:tcPr>
            <w:tcW w:type="dxa" w:w="2448"/>
            <w:vAlign w:val="center"/>
          </w:tcPr>
          <w:p>
            <w:r>
              <w:rPr>
                <w:rFonts w:eastAsia="宋体" w:ascii="Times New Roman" w:hAnsi="Times New Roman" w:cs="Times New Roman"/>
                <w:b w:val="false"/>
                <w:i w:val="false"/>
                <w:sz w:val="22"/>
              </w:rPr>
              <w:t>2.87</w:t>
            </w:r>
          </w:p>
        </w:tc>
        <w:tc>
          <w:tcPr>
            <w:tcW w:type="dxa" w:w="2448"/>
            <w:vAlign w:val="center"/>
          </w:tcPr>
          <w:p>
            <w:r>
              <w:rPr>
                <w:rFonts w:eastAsia="宋体" w:ascii="Times New Roman" w:hAnsi="Times New Roman" w:cs="Times New Roman"/>
                <w:b w:val="false"/>
                <w:i w:val="false"/>
                <w:sz w:val="22"/>
              </w:rPr>
              <w:t>增持</w:t>
            </w:r>
          </w:p>
        </w:tc>
        <w:tc>
          <w:tcPr>
            <w:tcW w:type="dxa" w:w="2448"/>
            <w:vAlign w:val="center"/>
          </w:tcPr>
          <w:p>
            <w:r>
              <w:rPr>
                <w:rFonts w:eastAsia="宋体" w:ascii="Times New Roman" w:hAnsi="Times New Roman" w:cs="Times New Roman"/>
                <w:b w:val="false"/>
                <w:i w:val="false"/>
                <w:sz w:val="22"/>
              </w:rPr>
              <w:t>+59.6%</w:t>
            </w:r>
          </w:p>
        </w:tc>
      </w:tr>
      <w:tr>
        <w:tc>
          <w:tcPr>
            <w:tcW w:type="dxa" w:w="2448"/>
            <w:vAlign w:val="center"/>
          </w:tcPr>
          <w:p>
            <w:r>
              <w:rPr>
                <w:rFonts w:eastAsia="宋体" w:ascii="Times New Roman" w:hAnsi="Times New Roman" w:cs="Times New Roman"/>
                <w:b w:val="false"/>
                <w:i w:val="false"/>
                <w:sz w:val="22"/>
              </w:rPr>
              <w:t>卫星ETF永赢</w:t>
            </w:r>
          </w:p>
        </w:tc>
        <w:tc>
          <w:tcPr>
            <w:tcW w:type="dxa" w:w="2448"/>
            <w:vAlign w:val="center"/>
          </w:tcPr>
          <w:p>
            <w:r>
              <w:rPr>
                <w:rFonts w:eastAsia="宋体" w:ascii="Times New Roman" w:hAnsi="Times New Roman" w:cs="Times New Roman"/>
                <w:b w:val="false"/>
                <w:i w:val="false"/>
                <w:sz w:val="22"/>
              </w:rPr>
              <w:t>1391.77</w:t>
            </w:r>
          </w:p>
        </w:tc>
        <w:tc>
          <w:tcPr>
            <w:tcW w:type="dxa" w:w="2448"/>
            <w:vAlign w:val="center"/>
          </w:tcPr>
          <w:p>
            <w:r>
              <w:rPr>
                <w:rFonts w:eastAsia="宋体" w:ascii="Times New Roman" w:hAnsi="Times New Roman" w:cs="Times New Roman"/>
                <w:b w:val="false"/>
                <w:i w:val="false"/>
                <w:sz w:val="22"/>
              </w:rPr>
              <w:t>2.10</w:t>
            </w:r>
          </w:p>
        </w:tc>
        <w:tc>
          <w:tcPr>
            <w:tcW w:type="dxa" w:w="2448"/>
            <w:vAlign w:val="center"/>
          </w:tcPr>
          <w:p>
            <w:r>
              <w:rPr>
                <w:rFonts w:eastAsia="宋体" w:ascii="Times New Roman" w:hAnsi="Times New Roman" w:cs="Times New Roman"/>
                <w:b w:val="false"/>
                <w:i w:val="false"/>
                <w:sz w:val="22"/>
              </w:rPr>
              <w:t>增持</w:t>
            </w:r>
          </w:p>
        </w:tc>
        <w:tc>
          <w:tcPr>
            <w:tcW w:type="dxa" w:w="2448"/>
            <w:vAlign w:val="center"/>
          </w:tcPr>
          <w:p>
            <w:r>
              <w:rPr>
                <w:rFonts w:eastAsia="宋体" w:ascii="Times New Roman" w:hAnsi="Times New Roman" w:cs="Times New Roman"/>
                <w:b w:val="false"/>
                <w:i w:val="false"/>
                <w:sz w:val="22"/>
              </w:rPr>
              <w:t>+174.57%</w:t>
            </w:r>
          </w:p>
        </w:tc>
      </w:tr>
      <w:tr>
        <w:tc>
          <w:tcPr>
            <w:tcW w:type="dxa" w:w="2448"/>
            <w:vAlign w:val="center"/>
          </w:tcPr>
          <w:p>
            <w:r>
              <w:rPr>
                <w:rFonts w:eastAsia="宋体" w:ascii="Times New Roman" w:hAnsi="Times New Roman" w:cs="Times New Roman"/>
                <w:b w:val="false"/>
                <w:i w:val="false"/>
                <w:sz w:val="22"/>
              </w:rPr>
              <w:t>香港中央结算</w:t>
            </w:r>
          </w:p>
        </w:tc>
        <w:tc>
          <w:tcPr>
            <w:tcW w:type="dxa" w:w="2448"/>
            <w:vAlign w:val="center"/>
          </w:tcPr>
          <w:p>
            <w:r>
              <w:rPr>
                <w:rFonts w:eastAsia="宋体" w:ascii="Times New Roman" w:hAnsi="Times New Roman" w:cs="Times New Roman"/>
                <w:b w:val="false"/>
                <w:i w:val="false"/>
                <w:sz w:val="22"/>
              </w:rPr>
              <w:t>544.47</w:t>
            </w:r>
          </w:p>
        </w:tc>
        <w:tc>
          <w:tcPr>
            <w:tcW w:type="dxa" w:w="2448"/>
            <w:vAlign w:val="center"/>
          </w:tcPr>
          <w:p>
            <w:r>
              <w:rPr>
                <w:rFonts w:eastAsia="宋体" w:ascii="Times New Roman" w:hAnsi="Times New Roman" w:cs="Times New Roman"/>
                <w:b w:val="false"/>
                <w:i w:val="false"/>
                <w:sz w:val="22"/>
              </w:rPr>
              <w:t>0.82</w:t>
            </w:r>
          </w:p>
        </w:tc>
        <w:tc>
          <w:tcPr>
            <w:tcW w:type="dxa" w:w="2448"/>
            <w:vAlign w:val="center"/>
          </w:tcPr>
          <w:p>
            <w:r>
              <w:rPr>
                <w:rFonts w:eastAsia="宋体" w:ascii="Times New Roman" w:hAnsi="Times New Roman" w:cs="Times New Roman"/>
                <w:b w:val="false"/>
                <w:i w:val="false"/>
                <w:sz w:val="22"/>
              </w:rPr>
              <w:t>减持</w:t>
            </w:r>
          </w:p>
        </w:tc>
        <w:tc>
          <w:tcPr>
            <w:tcW w:type="dxa" w:w="2448"/>
            <w:vAlign w:val="center"/>
          </w:tcPr>
          <w:p>
            <w:r>
              <w:rPr>
                <w:rFonts w:eastAsia="宋体" w:ascii="Times New Roman" w:hAnsi="Times New Roman" w:cs="Times New Roman"/>
                <w:b w:val="false"/>
                <w:i w:val="false"/>
                <w:sz w:val="22"/>
              </w:rPr>
              <w:t>-17.29%</w:t>
            </w:r>
          </w:p>
        </w:tc>
      </w:tr>
      <w:tr>
        <w:tc>
          <w:tcPr>
            <w:tcW w:type="dxa" w:w="2448"/>
            <w:vAlign w:val="center"/>
          </w:tcPr>
          <w:p>
            <w:r>
              <w:rPr>
                <w:rFonts w:eastAsia="宋体" w:ascii="Times New Roman" w:hAnsi="Times New Roman" w:cs="Times New Roman"/>
                <w:b w:val="false"/>
                <w:i w:val="false"/>
                <w:sz w:val="22"/>
              </w:rPr>
              <w:t>国泰中证军工ETF</w:t>
            </w:r>
          </w:p>
        </w:tc>
        <w:tc>
          <w:tcPr>
            <w:tcW w:type="dxa" w:w="2448"/>
            <w:vAlign w:val="center"/>
          </w:tcPr>
          <w:p>
            <w:r>
              <w:rPr>
                <w:rFonts w:eastAsia="宋体" w:ascii="Times New Roman" w:hAnsi="Times New Roman" w:cs="Times New Roman"/>
                <w:b w:val="false"/>
                <w:i w:val="false"/>
                <w:sz w:val="22"/>
              </w:rPr>
              <w:t>314.87</w:t>
            </w:r>
          </w:p>
        </w:tc>
        <w:tc>
          <w:tcPr>
            <w:tcW w:type="dxa" w:w="2448"/>
            <w:vAlign w:val="center"/>
          </w:tcPr>
          <w:p>
            <w:r>
              <w:rPr>
                <w:rFonts w:eastAsia="宋体" w:ascii="Times New Roman" w:hAnsi="Times New Roman" w:cs="Times New Roman"/>
                <w:b w:val="false"/>
                <w:i w:val="false"/>
                <w:sz w:val="22"/>
              </w:rPr>
              <w:t>0.48</w:t>
            </w:r>
          </w:p>
        </w:tc>
        <w:tc>
          <w:tcPr>
            <w:tcW w:type="dxa" w:w="2448"/>
            <w:vAlign w:val="center"/>
          </w:tcPr>
          <w:p>
            <w:r>
              <w:rPr>
                <w:rFonts w:eastAsia="宋体" w:ascii="Times New Roman" w:hAnsi="Times New Roman" w:cs="Times New Roman"/>
                <w:b w:val="false"/>
                <w:i w:val="false"/>
                <w:sz w:val="22"/>
              </w:rPr>
              <w:t>减持</w:t>
            </w:r>
          </w:p>
        </w:tc>
        <w:tc>
          <w:tcPr>
            <w:tcW w:type="dxa" w:w="2448"/>
            <w:vAlign w:val="center"/>
          </w:tcPr>
          <w:p>
            <w:r>
              <w:rPr>
                <w:rFonts w:eastAsia="宋体" w:ascii="Times New Roman" w:hAnsi="Times New Roman" w:cs="Times New Roman"/>
                <w:b w:val="false"/>
                <w:i w:val="false"/>
                <w:sz w:val="22"/>
              </w:rPr>
              <w:t>-7.23%</w:t>
            </w:r>
          </w:p>
        </w:tc>
      </w:tr>
      <w:tr>
        <w:tc>
          <w:tcPr>
            <w:tcW w:type="dxa" w:w="2448"/>
            <w:vAlign w:val="center"/>
          </w:tcPr>
          <w:p>
            <w:r>
              <w:rPr>
                <w:rFonts w:eastAsia="宋体" w:ascii="Times New Roman" w:hAnsi="Times New Roman" w:cs="Times New Roman"/>
                <w:b w:val="false"/>
                <w:i w:val="false"/>
                <w:sz w:val="22"/>
              </w:rPr>
              <w:t>蔡毛泉</w:t>
            </w:r>
          </w:p>
        </w:tc>
        <w:tc>
          <w:tcPr>
            <w:tcW w:type="dxa" w:w="2448"/>
            <w:vAlign w:val="center"/>
          </w:tcPr>
          <w:p>
            <w:r>
              <w:rPr>
                <w:rFonts w:eastAsia="宋体" w:ascii="Times New Roman" w:hAnsi="Times New Roman" w:cs="Times New Roman"/>
                <w:b w:val="false"/>
                <w:i w:val="false"/>
                <w:sz w:val="22"/>
              </w:rPr>
              <w:t>267.86</w:t>
            </w:r>
          </w:p>
        </w:tc>
        <w:tc>
          <w:tcPr>
            <w:tcW w:type="dxa" w:w="2448"/>
            <w:vAlign w:val="center"/>
          </w:tcPr>
          <w:p>
            <w:r>
              <w:rPr>
                <w:rFonts w:eastAsia="宋体" w:ascii="Times New Roman" w:hAnsi="Times New Roman" w:cs="Times New Roman"/>
                <w:b w:val="false"/>
                <w:i w:val="false"/>
                <w:sz w:val="22"/>
              </w:rPr>
              <w:t>0.40</w:t>
            </w:r>
          </w:p>
        </w:tc>
        <w:tc>
          <w:tcPr>
            <w:tcW w:type="dxa" w:w="2448"/>
            <w:vAlign w:val="center"/>
          </w:tcPr>
          <w:p>
            <w:r>
              <w:rPr>
                <w:rFonts w:eastAsia="宋体" w:ascii="Times New Roman" w:hAnsi="Times New Roman" w:cs="Times New Roman"/>
                <w:b w:val="false"/>
                <w:i w:val="false"/>
                <w:sz w:val="22"/>
              </w:rPr>
              <w:t>新进</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平安中证卫星产业A</w:t>
            </w:r>
          </w:p>
        </w:tc>
        <w:tc>
          <w:tcPr>
            <w:tcW w:type="dxa" w:w="2448"/>
            <w:vAlign w:val="center"/>
          </w:tcPr>
          <w:p>
            <w:r>
              <w:rPr>
                <w:rFonts w:eastAsia="宋体" w:ascii="Times New Roman" w:hAnsi="Times New Roman" w:cs="Times New Roman"/>
                <w:b w:val="false"/>
                <w:i w:val="false"/>
                <w:sz w:val="22"/>
              </w:rPr>
              <w:t>250.74</w:t>
            </w:r>
          </w:p>
        </w:tc>
        <w:tc>
          <w:tcPr>
            <w:tcW w:type="dxa" w:w="2448"/>
            <w:vAlign w:val="center"/>
          </w:tcPr>
          <w:p>
            <w:r>
              <w:rPr>
                <w:rFonts w:eastAsia="宋体" w:ascii="Times New Roman" w:hAnsi="Times New Roman" w:cs="Times New Roman"/>
                <w:b w:val="false"/>
                <w:i w:val="false"/>
                <w:sz w:val="22"/>
              </w:rPr>
              <w:t>0.38</w:t>
            </w:r>
          </w:p>
        </w:tc>
        <w:tc>
          <w:tcPr>
            <w:tcW w:type="dxa" w:w="2448"/>
            <w:vAlign w:val="center"/>
          </w:tcPr>
          <w:p>
            <w:r>
              <w:rPr>
                <w:rFonts w:eastAsia="宋体" w:ascii="Times New Roman" w:hAnsi="Times New Roman" w:cs="Times New Roman"/>
                <w:b w:val="false"/>
                <w:i w:val="false"/>
                <w:sz w:val="22"/>
              </w:rPr>
              <w:t>新进</w:t>
            </w:r>
          </w:p>
        </w:tc>
        <w:tc>
          <w:tcPr>
            <w:tcW w:type="dxa" w:w="2448"/>
            <w:vAlign w:val="center"/>
          </w:tcPr>
          <w:p>
            <w:r>
              <w:rPr>
                <w:rFonts w:eastAsia="宋体" w:ascii="Times New Roman" w:hAnsi="Times New Roman" w:cs="Times New Roman"/>
                <w:b w:val="false"/>
                <w:i w:val="false"/>
                <w:sz w:val="22"/>
              </w:rPr>
              <w:t>-</w:t>
            </w:r>
          </w:p>
        </w:tc>
      </w:tr>
    </w:tbl>
    <w:p>
      <w:pPr>
        <w:spacing w:line="240" w:lineRule="auto" w:before="120" w:after="120"/>
        <w:ind w:firstLine="0"/>
        <w:jc w:val="left"/>
      </w:pPr>
      <w:r>
        <w:rPr>
          <w:rFonts w:eastAsia="宋体" w:ascii="Times New Roman" w:hAnsi="Times New Roman" w:cs="Times New Roman"/>
          <w:b w:val="false"/>
          <w:i w:val="true"/>
          <w:sz w:val="22"/>
        </w:rPr>
        <w:t>表格数据综合自2026年一季度流通股东披露</w:t>
      </w:r>
      <w:r>
        <w:rPr>
          <w:rFonts w:eastAsia="宋体" w:ascii="Times New Roman" w:hAnsi="Times New Roman" w:cs="Times New Roman"/>
          <w:b w:val="false"/>
          <w:i w:val="false"/>
          <w:sz w:val="22"/>
          <w:vertAlign w:val="superscript"/>
        </w:rPr>
        <w:t>[71]</w:t>
      </w:r>
      <w:r>
        <w:rPr>
          <w:rFonts w:eastAsia="宋体" w:ascii="Times New Roman" w:hAnsi="Times New Roman" w:cs="Times New Roman"/>
          <w:b w:val="false"/>
          <w:i w:val="false"/>
          <w:sz w:val="22"/>
          <w:vertAlign w:val="superscript"/>
        </w:rPr>
        <w:t>[72]</w:t>
      </w:r>
    </w:p>
    <w:p>
      <w:pPr>
        <w:pStyle w:val="EM_H2_STYLE"/>
        <w:spacing w:line="240" w:lineRule="auto" w:before="120" w:after="120"/>
        <w:ind w:left="0"/>
        <w:jc w:val="left"/>
      </w:pPr>
      <w:r>
        <w:rPr>
          <w:rFonts w:eastAsia="宋体" w:ascii="宋体" w:hAnsi="宋体" w:cs="宋体"/>
          <w:b w:val="true"/>
          <w:i w:val="false"/>
          <w:sz w:val="28"/>
        </w:rPr>
        <w:t>5.2 市场指标与交易情绪</w:t>
      </w:r>
    </w:p>
    <w:p>
      <w:pPr>
        <w:spacing w:line="240" w:lineRule="auto" w:before="120" w:after="120"/>
        <w:ind w:firstLine="0"/>
        <w:jc w:val="left"/>
      </w:pPr>
      <w:r>
        <w:rPr>
          <w:rFonts w:eastAsia="宋体" w:ascii="Times New Roman" w:hAnsi="Times New Roman" w:cs="Times New Roman"/>
          <w:b w:val="false"/>
          <w:i w:val="false"/>
          <w:sz w:val="22"/>
        </w:rPr>
        <w:t>华力创通近期股价呈现显著波动，2026年4月下旬以来经历多次涨跌反复，反映出市场情绪的复杂变化。4月30日盘中上涨2.09%，报21.96元/股，成交额达1.07亿元，换手率为0.95%，主力资金净流入287.46万元，其中特大单买入占比1.85%、大单买入占比15.56%，显示短期资金活跃度提升</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。然而，同日稍后时段股价涨幅扩大至3.95%，成交额增至4.83亿元，换手率4.17%，总市值升至148.17亿元，异动分析显示这与军工信息化、卫星导航等概念板块的催化相关</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。此前一周市场表现疲软，4月28日股价下跌5.04%，报21.10元/股，连续5个交易日累计跌幅达7.3%，成交额3.95亿元，反映出空头压力加剧</w:t>
      </w:r>
      <w:r>
        <w:rPr>
          <w:rFonts w:eastAsia="宋体" w:ascii="Times New Roman" w:hAnsi="Times New Roman" w:cs="Times New Roman"/>
          <w:b w:val="false"/>
          <w:i w:val="false"/>
          <w:sz w:val="22"/>
          <w:vertAlign w:val="superscript"/>
        </w:rPr>
        <w:t>[77]</w:t>
      </w:r>
      <w:r>
        <w:rPr>
          <w:rFonts w:eastAsia="宋体" w:ascii="Times New Roman" w:hAnsi="Times New Roman" w:cs="Times New Roman"/>
          <w:b w:val="false"/>
          <w:i w:val="false"/>
          <w:sz w:val="22"/>
        </w:rPr>
        <w:t>。更早的4月24日，股价下跌2.88%，成交额3.84亿元，融资买入额2954.03万元但融资偿还3205.30万元，导致融资净流出251.27万元，融资余额维持在9.21亿元高位，占流通市值6.25%，处于近一年60%分位水平</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资金流向数据揭示主力与散户行为的明显分化。4月22日主力资金净流出7394.38万元，而散户资金净流入8778.24万元，呈现“主力出货、散户接盘”态势</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false"/>
          <w:sz w:val="22"/>
        </w:rPr>
        <w:t>。这种格局在4月下旬持续，主力资金整体净流出状态导致净占比远低于市场平均水平</w:t>
      </w:r>
      <w:r>
        <w:rPr>
          <w:rFonts w:eastAsia="宋体" w:ascii="Times New Roman" w:hAnsi="Times New Roman" w:cs="Times New Roman"/>
          <w:b w:val="false"/>
          <w:i w:val="false"/>
          <w:sz w:val="22"/>
          <w:vertAlign w:val="superscript"/>
        </w:rPr>
        <w:t>[80]</w:t>
      </w:r>
      <w:r>
        <w:rPr>
          <w:rFonts w:eastAsia="宋体" w:ascii="Times New Roman" w:hAnsi="Times New Roman" w:cs="Times New Roman"/>
          <w:b w:val="false"/>
          <w:i w:val="false"/>
          <w:sz w:val="22"/>
        </w:rPr>
        <w:t>。散户信心部分源于股东户数变化，截至4月20日股东户数达9.62万户，较上期增加4.25%，户均流通股减少至5439股，显示散户入场积极性增强</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。市场情绪偏中性，舆情关注度一般，机构调研频率较低，但投资者在股价低位时倾向于布局期待反弹</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融资融券动态进一步凸显市场分歧。近期融资买入活跃但偿还压力大，6月16日融资买入767.36万元而融资偿还1135.43万元，净卖出368.07万元</w:t>
      </w:r>
      <w:r>
        <w:rPr>
          <w:rFonts w:eastAsia="宋体" w:ascii="Times New Roman" w:hAnsi="Times New Roman" w:cs="Times New Roman"/>
          <w:b w:val="false"/>
          <w:i w:val="false"/>
          <w:sz w:val="22"/>
          <w:vertAlign w:val="superscript"/>
        </w:rPr>
        <w:t>[82]</w:t>
      </w:r>
      <w:r>
        <w:rPr>
          <w:rFonts w:eastAsia="宋体" w:ascii="Times New Roman" w:hAnsi="Times New Roman" w:cs="Times New Roman"/>
          <w:b w:val="false"/>
          <w:i w:val="false"/>
          <w:sz w:val="22"/>
        </w:rPr>
        <w:t>。更早的6月23日融资买入1497.88万元，融资偿还2468.97万元，净卖出971.08万元，同时融券净买入3000股，余量达8.94万股，反映看空情绪强化</w:t>
      </w:r>
      <w:r>
        <w:rPr>
          <w:rFonts w:eastAsia="宋体" w:ascii="Times New Roman" w:hAnsi="Times New Roman" w:cs="Times New Roman"/>
          <w:b w:val="false"/>
          <w:i w:val="false"/>
          <w:sz w:val="22"/>
          <w:vertAlign w:val="superscript"/>
        </w:rPr>
        <w:t>[83]</w:t>
      </w:r>
      <w:r>
        <w:rPr>
          <w:rFonts w:eastAsia="宋体" w:ascii="Times New Roman" w:hAnsi="Times New Roman" w:cs="Times New Roman"/>
          <w:b w:val="false"/>
          <w:i w:val="false"/>
          <w:sz w:val="22"/>
        </w:rPr>
        <w:t>。3月初融资买入额1.1亿元但偿还额1.71亿元，净卖出6138.33万元，融券净卖出9.69万股，连续三日累计净卖出11.82万股，表明短期抛压加大</w:t>
      </w:r>
      <w:r>
        <w:rPr>
          <w:rFonts w:eastAsia="宋体" w:ascii="Times New Roman" w:hAnsi="Times New Roman" w:cs="Times New Roman"/>
          <w:b w:val="false"/>
          <w:i w:val="false"/>
          <w:sz w:val="22"/>
          <w:vertAlign w:val="superscript"/>
        </w:rPr>
        <w:t>[84]</w:t>
      </w:r>
      <w:r>
        <w:rPr>
          <w:rFonts w:eastAsia="宋体" w:ascii="Times New Roman" w:hAnsi="Times New Roman" w:cs="Times New Roman"/>
          <w:b w:val="false"/>
          <w:i w:val="false"/>
          <w:sz w:val="22"/>
        </w:rPr>
        <w:t>。融资余额整体高企，4月24日达9.21亿元，但融券余额仅85.44万元，处于近一年10%分位低位，显示杠杆资金风险偏好分化</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交易指标与市场情绪关联紧密，以下表格汇总关键数据点：</w:t>
      </w:r>
    </w:p>
    <w:tbl>
      <w:tblPr>
        <w:tblW w:w="0" w:type="auto"/>
        <w:tblBorders>
          <w:top w:val="single"/>
          <w:left w:val="single"/>
          <w:bottom w:val="single"/>
          <w:right w:val="single"/>
          <w:insideH w:val="single"/>
          <w:insideV w:val="single"/>
        </w:tblBorders>
      </w:tblPr>
      <w:tblGrid>
        <w:gridCol w:w="9000"/>
      </w:tblGrid>
      <w:tr>
        <w:tc>
          <w:tcPr>
            <w:tcW w:type="dxa" w:w="2040"/>
            <w:vAlign w:val="center"/>
          </w:tcPr>
          <w:p>
            <w:r>
              <w:rPr>
                <w:rFonts w:eastAsia="宋体" w:ascii="Times New Roman" w:hAnsi="Times New Roman" w:cs="Times New Roman"/>
                <w:b w:val="true"/>
                <w:i w:val="false"/>
                <w:sz w:val="22"/>
              </w:rPr>
              <w:t>日期</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股价变动</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成交额（亿元）</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换手率（%）</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主力资金流向（万元）</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融资净变动（万元）</w:t>
            </w:r>
            <w:r>
              <w:rPr>
                <w:rFonts w:eastAsia="宋体" w:ascii="Times New Roman" w:hAnsi="Times New Roman" w:cs="Times New Roman"/>
                <w:b w:val="false"/>
                <w:i w:val="false"/>
                <w:sz w:val="22"/>
              </w:rPr>
              <w:t/>
            </w:r>
          </w:p>
        </w:tc>
      </w:tr>
      <w:tr>
        <w:tc>
          <w:tcPr>
            <w:tcW w:type="dxa" w:w="2040"/>
            <w:vAlign w:val="center"/>
          </w:tcPr>
          <w:p>
            <w:r>
              <w:rPr>
                <w:rFonts w:eastAsia="宋体" w:ascii="Times New Roman" w:hAnsi="Times New Roman" w:cs="Times New Roman"/>
                <w:b w:val="false"/>
                <w:i w:val="false"/>
                <w:sz w:val="22"/>
              </w:rPr>
              <w:t>2026-04-30</w:t>
            </w:r>
          </w:p>
        </w:tc>
        <w:tc>
          <w:tcPr>
            <w:tcW w:type="dxa" w:w="2040"/>
            <w:vAlign w:val="center"/>
          </w:tcPr>
          <w:p>
            <w:r>
              <w:rPr>
                <w:rFonts w:eastAsia="宋体" w:ascii="Times New Roman" w:hAnsi="Times New Roman" w:cs="Times New Roman"/>
                <w:b w:val="false"/>
                <w:i w:val="false"/>
                <w:sz w:val="22"/>
              </w:rPr>
              <w:t>+2.09%</w:t>
            </w:r>
          </w:p>
        </w:tc>
        <w:tc>
          <w:tcPr>
            <w:tcW w:type="dxa" w:w="2040"/>
            <w:vAlign w:val="center"/>
          </w:tcPr>
          <w:p>
            <w:r>
              <w:rPr>
                <w:rFonts w:eastAsia="宋体" w:ascii="Times New Roman" w:hAnsi="Times New Roman" w:cs="Times New Roman"/>
                <w:b w:val="false"/>
                <w:i w:val="false"/>
                <w:sz w:val="22"/>
              </w:rPr>
              <w:t>1.07</w:t>
            </w:r>
          </w:p>
        </w:tc>
        <w:tc>
          <w:tcPr>
            <w:tcW w:type="dxa" w:w="2040"/>
            <w:vAlign w:val="center"/>
          </w:tcPr>
          <w:p>
            <w:r>
              <w:rPr>
                <w:rFonts w:eastAsia="宋体" w:ascii="Times New Roman" w:hAnsi="Times New Roman" w:cs="Times New Roman"/>
                <w:b w:val="false"/>
                <w:i w:val="false"/>
                <w:sz w:val="22"/>
              </w:rPr>
              <w:t>0.95</w:t>
            </w:r>
          </w:p>
        </w:tc>
        <w:tc>
          <w:tcPr>
            <w:tcW w:type="dxa" w:w="2040"/>
            <w:vAlign w:val="center"/>
          </w:tcPr>
          <w:p>
            <w:r>
              <w:rPr>
                <w:rFonts w:eastAsia="宋体" w:ascii="Times New Roman" w:hAnsi="Times New Roman" w:cs="Times New Roman"/>
                <w:b w:val="false"/>
                <w:i w:val="false"/>
                <w:sz w:val="22"/>
              </w:rPr>
              <w:t>+287.46</w:t>
            </w:r>
          </w:p>
        </w:tc>
        <w:tc>
          <w:tcPr>
            <w:tcW w:type="dxa" w:w="2040"/>
            <w:vAlign w:val="center"/>
          </w:tcPr>
          <w:p>
            <w:r>
              <w:rPr>
                <w:rFonts w:eastAsia="宋体" w:ascii="Times New Roman" w:hAnsi="Times New Roman" w:cs="Times New Roman"/>
                <w:b w:val="false"/>
                <w:i w:val="false"/>
                <w:sz w:val="22"/>
              </w:rPr>
              <w:t>-</w:t>
            </w:r>
          </w:p>
        </w:tc>
      </w:tr>
      <w:tr>
        <w:tc>
          <w:tcPr>
            <w:tcW w:type="dxa" w:w="2040"/>
            <w:vAlign w:val="center"/>
          </w:tcPr>
          <w:p>
            <w:r>
              <w:rPr>
                <w:rFonts w:eastAsia="宋体" w:ascii="Times New Roman" w:hAnsi="Times New Roman" w:cs="Times New Roman"/>
                <w:b w:val="false"/>
                <w:i w:val="false"/>
                <w:sz w:val="22"/>
              </w:rPr>
              <w:t>2026-04-30</w:t>
            </w:r>
          </w:p>
        </w:tc>
        <w:tc>
          <w:tcPr>
            <w:tcW w:type="dxa" w:w="2040"/>
            <w:vAlign w:val="center"/>
          </w:tcPr>
          <w:p>
            <w:r>
              <w:rPr>
                <w:rFonts w:eastAsia="宋体" w:ascii="Times New Roman" w:hAnsi="Times New Roman" w:cs="Times New Roman"/>
                <w:b w:val="false"/>
                <w:i w:val="false"/>
                <w:sz w:val="22"/>
              </w:rPr>
              <w:t>+3.95%</w:t>
            </w:r>
          </w:p>
        </w:tc>
        <w:tc>
          <w:tcPr>
            <w:tcW w:type="dxa" w:w="2040"/>
            <w:vAlign w:val="center"/>
          </w:tcPr>
          <w:p>
            <w:r>
              <w:rPr>
                <w:rFonts w:eastAsia="宋体" w:ascii="Times New Roman" w:hAnsi="Times New Roman" w:cs="Times New Roman"/>
                <w:b w:val="false"/>
                <w:i w:val="false"/>
                <w:sz w:val="22"/>
              </w:rPr>
              <w:t>4.83</w:t>
            </w:r>
          </w:p>
        </w:tc>
        <w:tc>
          <w:tcPr>
            <w:tcW w:type="dxa" w:w="2040"/>
            <w:vAlign w:val="center"/>
          </w:tcPr>
          <w:p>
            <w:r>
              <w:rPr>
                <w:rFonts w:eastAsia="宋体" w:ascii="Times New Roman" w:hAnsi="Times New Roman" w:cs="Times New Roman"/>
                <w:b w:val="false"/>
                <w:i w:val="false"/>
                <w:sz w:val="22"/>
              </w:rPr>
              <w:t>4.17</w:t>
            </w:r>
          </w:p>
        </w:tc>
        <w:tc>
          <w:tcPr>
            <w:tcW w:type="dxa" w:w="2040"/>
            <w:vAlign w:val="center"/>
          </w:tcPr>
          <w:p>
            <w:r>
              <w:rPr>
                <w:rFonts w:eastAsia="宋体" w:ascii="Times New Roman" w:hAnsi="Times New Roman" w:cs="Times New Roman"/>
                <w:b w:val="false"/>
                <w:i w:val="false"/>
                <w:sz w:val="22"/>
              </w:rPr>
              <w:t>-</w:t>
            </w:r>
          </w:p>
        </w:tc>
        <w:tc>
          <w:tcPr>
            <w:tcW w:type="dxa" w:w="2040"/>
            <w:vAlign w:val="center"/>
          </w:tcPr>
          <w:p>
            <w:r>
              <w:rPr>
                <w:rFonts w:eastAsia="宋体" w:ascii="Times New Roman" w:hAnsi="Times New Roman" w:cs="Times New Roman"/>
                <w:b w:val="false"/>
                <w:i w:val="false"/>
                <w:sz w:val="22"/>
              </w:rPr>
              <w:t>-</w:t>
            </w:r>
          </w:p>
        </w:tc>
      </w:tr>
      <w:tr>
        <w:tc>
          <w:tcPr>
            <w:tcW w:type="dxa" w:w="2040"/>
            <w:vAlign w:val="center"/>
          </w:tcPr>
          <w:p>
            <w:r>
              <w:rPr>
                <w:rFonts w:eastAsia="宋体" w:ascii="Times New Roman" w:hAnsi="Times New Roman" w:cs="Times New Roman"/>
                <w:b w:val="false"/>
                <w:i w:val="false"/>
                <w:sz w:val="22"/>
              </w:rPr>
              <w:t>2026-04-28</w:t>
            </w:r>
          </w:p>
        </w:tc>
        <w:tc>
          <w:tcPr>
            <w:tcW w:type="dxa" w:w="2040"/>
            <w:vAlign w:val="center"/>
          </w:tcPr>
          <w:p>
            <w:r>
              <w:rPr>
                <w:rFonts w:eastAsia="宋体" w:ascii="Times New Roman" w:hAnsi="Times New Roman" w:cs="Times New Roman"/>
                <w:b w:val="false"/>
                <w:i w:val="false"/>
                <w:sz w:val="22"/>
              </w:rPr>
              <w:t>-5.04%</w:t>
            </w:r>
          </w:p>
        </w:tc>
        <w:tc>
          <w:tcPr>
            <w:tcW w:type="dxa" w:w="2040"/>
            <w:vAlign w:val="center"/>
          </w:tcPr>
          <w:p>
            <w:r>
              <w:rPr>
                <w:rFonts w:eastAsia="宋体" w:ascii="Times New Roman" w:hAnsi="Times New Roman" w:cs="Times New Roman"/>
                <w:b w:val="false"/>
                <w:i w:val="false"/>
                <w:sz w:val="22"/>
              </w:rPr>
              <w:t>3.95</w:t>
            </w:r>
          </w:p>
        </w:tc>
        <w:tc>
          <w:tcPr>
            <w:tcW w:type="dxa" w:w="2040"/>
            <w:vAlign w:val="center"/>
          </w:tcPr>
          <w:p>
            <w:r>
              <w:rPr>
                <w:rFonts w:eastAsia="宋体" w:ascii="Times New Roman" w:hAnsi="Times New Roman" w:cs="Times New Roman"/>
                <w:b w:val="false"/>
                <w:i w:val="false"/>
                <w:sz w:val="22"/>
              </w:rPr>
              <w:t>3.52</w:t>
            </w:r>
          </w:p>
        </w:tc>
        <w:tc>
          <w:tcPr>
            <w:tcW w:type="dxa" w:w="2040"/>
            <w:vAlign w:val="center"/>
          </w:tcPr>
          <w:p>
            <w:r>
              <w:rPr>
                <w:rFonts w:eastAsia="宋体" w:ascii="Times New Roman" w:hAnsi="Times New Roman" w:cs="Times New Roman"/>
                <w:b w:val="false"/>
                <w:i w:val="false"/>
                <w:sz w:val="22"/>
              </w:rPr>
              <w:t>-</w:t>
            </w:r>
          </w:p>
        </w:tc>
        <w:tc>
          <w:tcPr>
            <w:tcW w:type="dxa" w:w="2040"/>
            <w:vAlign w:val="center"/>
          </w:tcPr>
          <w:p>
            <w:r>
              <w:rPr>
                <w:rFonts w:eastAsia="宋体" w:ascii="Times New Roman" w:hAnsi="Times New Roman" w:cs="Times New Roman"/>
                <w:b w:val="false"/>
                <w:i w:val="false"/>
                <w:sz w:val="22"/>
              </w:rPr>
              <w:t>-</w:t>
            </w:r>
          </w:p>
        </w:tc>
      </w:tr>
      <w:tr>
        <w:tc>
          <w:tcPr>
            <w:tcW w:type="dxa" w:w="2040"/>
            <w:vAlign w:val="center"/>
          </w:tcPr>
          <w:p>
            <w:r>
              <w:rPr>
                <w:rFonts w:eastAsia="宋体" w:ascii="Times New Roman" w:hAnsi="Times New Roman" w:cs="Times New Roman"/>
                <w:b w:val="false"/>
                <w:i w:val="false"/>
                <w:sz w:val="22"/>
              </w:rPr>
              <w:t>2026-04-24</w:t>
            </w:r>
          </w:p>
        </w:tc>
        <w:tc>
          <w:tcPr>
            <w:tcW w:type="dxa" w:w="2040"/>
            <w:vAlign w:val="center"/>
          </w:tcPr>
          <w:p>
            <w:r>
              <w:rPr>
                <w:rFonts w:eastAsia="宋体" w:ascii="Times New Roman" w:hAnsi="Times New Roman" w:cs="Times New Roman"/>
                <w:b w:val="false"/>
                <w:i w:val="false"/>
                <w:sz w:val="22"/>
              </w:rPr>
              <w:t>-2.88%</w:t>
            </w:r>
          </w:p>
        </w:tc>
        <w:tc>
          <w:tcPr>
            <w:tcW w:type="dxa" w:w="2040"/>
            <w:vAlign w:val="center"/>
          </w:tcPr>
          <w:p>
            <w:r>
              <w:rPr>
                <w:rFonts w:eastAsia="宋体" w:ascii="Times New Roman" w:hAnsi="Times New Roman" w:cs="Times New Roman"/>
                <w:b w:val="false"/>
                <w:i w:val="false"/>
                <w:sz w:val="22"/>
              </w:rPr>
              <w:t>3.84</w:t>
            </w:r>
          </w:p>
        </w:tc>
        <w:tc>
          <w:tcPr>
            <w:tcW w:type="dxa" w:w="2040"/>
            <w:vAlign w:val="center"/>
          </w:tcPr>
          <w:p>
            <w:r>
              <w:rPr>
                <w:rFonts w:eastAsia="宋体" w:ascii="Times New Roman" w:hAnsi="Times New Roman" w:cs="Times New Roman"/>
                <w:b w:val="false"/>
                <w:i w:val="false"/>
                <w:sz w:val="22"/>
              </w:rPr>
              <w:t>-</w:t>
            </w:r>
          </w:p>
        </w:tc>
        <w:tc>
          <w:tcPr>
            <w:tcW w:type="dxa" w:w="2040"/>
            <w:vAlign w:val="center"/>
          </w:tcPr>
          <w:p>
            <w:r>
              <w:rPr>
                <w:rFonts w:eastAsia="宋体" w:ascii="Times New Roman" w:hAnsi="Times New Roman" w:cs="Times New Roman"/>
                <w:b w:val="false"/>
                <w:i w:val="false"/>
                <w:sz w:val="22"/>
              </w:rPr>
              <w:t>-7394.38</w:t>
            </w:r>
          </w:p>
        </w:tc>
        <w:tc>
          <w:tcPr>
            <w:tcW w:type="dxa" w:w="2040"/>
            <w:vAlign w:val="center"/>
          </w:tcPr>
          <w:p>
            <w:r>
              <w:rPr>
                <w:rFonts w:eastAsia="宋体" w:ascii="Times New Roman" w:hAnsi="Times New Roman" w:cs="Times New Roman"/>
                <w:b w:val="false"/>
                <w:i w:val="false"/>
                <w:sz w:val="22"/>
              </w:rPr>
              <w:t>-251.27</w:t>
            </w:r>
          </w:p>
        </w:tc>
      </w:tr>
      <w:tr>
        <w:tc>
          <w:tcPr>
            <w:tcW w:type="dxa" w:w="2040"/>
            <w:vAlign w:val="center"/>
          </w:tcPr>
          <w:p>
            <w:r>
              <w:rPr>
                <w:rFonts w:eastAsia="宋体" w:ascii="Times New Roman" w:hAnsi="Times New Roman" w:cs="Times New Roman"/>
                <w:b w:val="false"/>
                <w:i w:val="false"/>
                <w:sz w:val="22"/>
              </w:rPr>
              <w:t>2026-04-22</w:t>
            </w:r>
          </w:p>
        </w:tc>
        <w:tc>
          <w:tcPr>
            <w:tcW w:type="dxa" w:w="2040"/>
            <w:vAlign w:val="center"/>
          </w:tcPr>
          <w:p>
            <w:r>
              <w:rPr>
                <w:rFonts w:eastAsia="宋体" w:ascii="Times New Roman" w:hAnsi="Times New Roman" w:cs="Times New Roman"/>
                <w:b w:val="false"/>
                <w:i w:val="false"/>
                <w:sz w:val="22"/>
              </w:rPr>
              <w:t>-0.55%</w:t>
            </w:r>
          </w:p>
        </w:tc>
        <w:tc>
          <w:tcPr>
            <w:tcW w:type="dxa" w:w="2040"/>
            <w:vAlign w:val="center"/>
          </w:tcPr>
          <w:p>
            <w:r>
              <w:rPr>
                <w:rFonts w:eastAsia="宋体" w:ascii="Times New Roman" w:hAnsi="Times New Roman" w:cs="Times New Roman"/>
                <w:b w:val="false"/>
                <w:i w:val="false"/>
                <w:sz w:val="22"/>
              </w:rPr>
              <w:t>5.40</w:t>
            </w:r>
          </w:p>
        </w:tc>
        <w:tc>
          <w:tcPr>
            <w:tcW w:type="dxa" w:w="2040"/>
            <w:vAlign w:val="center"/>
          </w:tcPr>
          <w:p>
            <w:r>
              <w:rPr>
                <w:rFonts w:eastAsia="宋体" w:ascii="Times New Roman" w:hAnsi="Times New Roman" w:cs="Times New Roman"/>
                <w:b w:val="false"/>
                <w:i w:val="false"/>
                <w:sz w:val="22"/>
              </w:rPr>
              <w:t>4.48</w:t>
            </w:r>
          </w:p>
        </w:tc>
        <w:tc>
          <w:tcPr>
            <w:tcW w:type="dxa" w:w="2040"/>
            <w:vAlign w:val="center"/>
          </w:tcPr>
          <w:p>
            <w:r>
              <w:rPr>
                <w:rFonts w:eastAsia="宋体" w:ascii="Times New Roman" w:hAnsi="Times New Roman" w:cs="Times New Roman"/>
                <w:b w:val="false"/>
                <w:i w:val="false"/>
                <w:sz w:val="22"/>
              </w:rPr>
              <w:t>-7394.38</w:t>
            </w:r>
          </w:p>
        </w:tc>
        <w:tc>
          <w:tcPr>
            <w:tcW w:type="dxa" w:w="2040"/>
            <w:vAlign w:val="center"/>
          </w:tcPr>
          <w:p>
            <w:r>
              <w:rPr>
                <w:rFonts w:eastAsia="宋体" w:ascii="Times New Roman" w:hAnsi="Times New Roman" w:cs="Times New Roman"/>
                <w:b w:val="false"/>
                <w:i w:val="false"/>
                <w:sz w:val="22"/>
              </w:rPr>
              <w:t>-</w:t>
            </w:r>
          </w:p>
        </w:tc>
      </w:tr>
    </w:tbl>
    <w:p>
      <w:pPr>
        <w:spacing w:line="240" w:lineRule="auto" w:before="120" w:after="120"/>
        <w:ind w:firstLine="0"/>
        <w:jc w:val="left"/>
      </w:pPr>
      <w:r>
        <w:rPr>
          <w:rFonts w:eastAsia="宋体" w:ascii="Times New Roman" w:hAnsi="Times New Roman" w:cs="Times New Roman"/>
          <w:b w:val="false"/>
          <w:i w:val="true"/>
          <w:sz w:val="22"/>
        </w:rPr>
        <w:t>表格数据综合自多日交易指标</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true"/>
          <w:sz w:val="22"/>
        </w:rPr>
        <w:t>。</w:t>
      </w:r>
    </w:p>
    <w:p>
      <w:pPr>
        <w:spacing w:line="240" w:lineRule="auto" w:before="120" w:after="120"/>
        <w:ind w:firstLine="0"/>
        <w:jc w:val="left"/>
      </w:pPr>
      <w:r>
        <w:rPr>
          <w:rFonts w:eastAsia="宋体" w:ascii="Times New Roman" w:hAnsi="Times New Roman" w:cs="Times New Roman"/>
          <w:b w:val="false"/>
          <w:i w:val="false"/>
          <w:sz w:val="22"/>
        </w:rPr>
        <w:t>经济环境不确定性加大投资者谨慎态度，外部因素如行业竞争加剧影响短期情绪，但公司生产运营稳中有序，5G和AI等新技术布局被视为长期支撑</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rPr>
        <w:t>。市盈率TTM为负值，估值处于历史高位区间但行业内偏低，叠加亏损收窄趋势，部分投资者维持理性乐观预期</w:t>
      </w:r>
      <w:r>
        <w:rPr>
          <w:rFonts w:eastAsia="宋体" w:ascii="Times New Roman" w:hAnsi="Times New Roman" w:cs="Times New Roman"/>
          <w:b w:val="false"/>
          <w:i w:val="false"/>
          <w:sz w:val="22"/>
          <w:vertAlign w:val="superscript"/>
        </w:rPr>
        <w:t>[80]</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6. 总结</w:t>
      </w:r>
    </w:p>
    <w:p>
      <w:pPr>
        <w:pStyle w:val="EM_H2_STYLE"/>
        <w:spacing w:line="240" w:lineRule="auto" w:before="120" w:after="120"/>
        <w:ind w:left="0"/>
        <w:jc w:val="left"/>
      </w:pPr>
      <w:r>
        <w:rPr>
          <w:rFonts w:eastAsia="宋体" w:ascii="宋体" w:hAnsi="宋体" w:cs="宋体"/>
          <w:b w:val="true"/>
          <w:i w:val="false"/>
          <w:sz w:val="28"/>
        </w:rPr>
        <w:t>6.1 综合评价与未来展望</w:t>
      </w:r>
    </w:p>
    <w:p>
      <w:pPr>
        <w:spacing w:line="240" w:lineRule="auto" w:before="120" w:after="120"/>
        <w:ind w:firstLine="0"/>
        <w:jc w:val="left"/>
      </w:pPr>
      <w:r>
        <w:rPr>
          <w:rFonts w:eastAsia="宋体" w:ascii="Times New Roman" w:hAnsi="Times New Roman" w:cs="Times New Roman"/>
          <w:b w:val="false"/>
          <w:i w:val="false"/>
          <w:sz w:val="22"/>
        </w:rPr>
        <w:t>华力创通在2025年至2026年一季度期间展现出显著的经营韧性，亏损持续收窄但尚未实现全面盈利。2025年公司营业收入达7.82亿元，同比增长42.91%，其中卫星应用业务收入3.67亿元，占比46.95%，首次成为第一大收入来源，反映业务结构优化与核心领域聚焦成效</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。归母净利润亏损6922.37万元，同比收窄51.58%，扣非净利润亏损6593.09万元，收窄55.92%，表明主营业务改善趋势强于整体报表表现</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。2026年一季度延续向好态势，营业收入1.47亿元，同比增长6.94%，归母净利润亏损1195.67万元，收窄31.17%，主要受益于内部管理优化及长账龄应收账款坏账准备转回</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。然而，经营现金流净额波动较大，2025年为1.88亿元，但2026年一季度降至-7014.74万元，同比下降286.98%，凸显资金周转压力与回款风险</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。研发投入保持高位，2025年研发费用1.84亿元，占营收23.48%，尽管同比下降24.31%，但资本化率达61.66%，支撑技术创新能力</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。毛利率稳步提升，2025年为29.70%，2026年一季度增至31.08%，反映产品竞争力增强</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公司核心竞争力源于国防军工领域的深厚积淀，已构建“芯片-模组-终端-解决方案”的卫星应用全产业链，并依托北斗三号装备批量交付，验证规模化市场拓展能力</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rPr>
        <w:t>。在行业地位上，华力创通营收规模低于同业平均（行业均值28.65亿元），2025年营收排名第34位，净利润排名第42位，资产负债率35.95%高于行业均值34.25%，但资产质量与营运能力评分良好，显示基础稳固</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。机构投资者信心增强，2026年一季度卫星ETF永赢增持884.87万股，香港中央结算持股调整，反映市场对长期价值的认可</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rPr>
        <w:t>。股东户数增至9.62万户，散户资金逆流而入，凸显市场关注度提升，但需警惕短期股价波动风险</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未来展望聚焦战略深化与盈利改善。管理层明确将持续深耕卫星应用、仿真测试及信号处理三大核心业务，同时培育商业航天、低空经济等新质生产力方向，把握政策与技术红利</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。关键举措包括优化应收账款管理，2026年一季度长账龄应收款项下降推动减值转回，但应收账款余额同比增10.40%至4.23亿元，后续需强化催收机制以防控减值风险</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。现金流改善列为优先任务，通过提质增效与成本管控，目标夯实运营基础</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。研发投入将维持强度，重点提升卫星通信与导航技术壁垒，巩固全链条自主可控优势</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。市场拓展方面，深化境内外客户合作，依托在手订单排产保障交付连续性，支撑营收稳步增长</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。投资者需理性评估行业波动，公司基本面改善与战略清晰度提供长期价值支撑</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关键财务指标对比表（2025年 vs. 2026年Q1）</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指标</w:t>
            </w:r>
          </w:p>
        </w:tc>
        <w:tc>
          <w:tcPr>
            <w:tcW w:type="dxa" w:w="3060"/>
            <w:vAlign w:val="center"/>
          </w:tcPr>
          <w:p>
            <w:r>
              <w:rPr>
                <w:rFonts w:eastAsia="宋体" w:ascii="Times New Roman" w:hAnsi="Times New Roman" w:cs="Times New Roman"/>
                <w:b w:val="false"/>
                <w:i w:val="false"/>
                <w:sz w:val="22"/>
              </w:rPr>
              <w:t>2025年度</w:t>
            </w:r>
          </w:p>
        </w:tc>
        <w:tc>
          <w:tcPr>
            <w:tcW w:type="dxa" w:w="3060"/>
            <w:vAlign w:val="center"/>
          </w:tcPr>
          <w:p>
            <w:r>
              <w:rPr>
                <w:rFonts w:eastAsia="宋体" w:ascii="Times New Roman" w:hAnsi="Times New Roman" w:cs="Times New Roman"/>
                <w:b w:val="false"/>
                <w:i w:val="false"/>
                <w:sz w:val="22"/>
              </w:rPr>
              <w:t>2026年Q1</w:t>
            </w:r>
          </w:p>
        </w:tc>
        <w:tc>
          <w:tcPr>
            <w:tcW w:type="dxa" w:w="3060"/>
            <w:vAlign w:val="center"/>
          </w:tcPr>
          <w:p>
            <w:r>
              <w:rPr>
                <w:rFonts w:eastAsia="宋体" w:ascii="Times New Roman" w:hAnsi="Times New Roman" w:cs="Times New Roman"/>
                <w:b w:val="false"/>
                <w:i w:val="false"/>
                <w:sz w:val="22"/>
              </w:rPr>
              <w:t>变动幅度</w:t>
            </w:r>
          </w:p>
        </w:tc>
      </w:tr>
      <w:tr>
        <w:tc>
          <w:tcPr>
            <w:tcW w:type="dxa" w:w="3060"/>
            <w:vAlign w:val="center"/>
          </w:tcPr>
          <w:p>
            <w:r>
              <w:rPr>
                <w:rFonts w:eastAsia="宋体" w:ascii="Times New Roman" w:hAnsi="Times New Roman" w:cs="Times New Roman"/>
                <w:b w:val="false"/>
                <w:i w:val="false"/>
                <w:sz w:val="22"/>
              </w:rPr>
              <w:t>营业收入（亿元）</w:t>
            </w:r>
          </w:p>
        </w:tc>
        <w:tc>
          <w:tcPr>
            <w:tcW w:type="dxa" w:w="3060"/>
            <w:vAlign w:val="center"/>
          </w:tcPr>
          <w:p>
            <w:r>
              <w:rPr>
                <w:rFonts w:eastAsia="宋体" w:ascii="Times New Roman" w:hAnsi="Times New Roman" w:cs="Times New Roman"/>
                <w:b w:val="false"/>
                <w:i w:val="false"/>
                <w:sz w:val="22"/>
              </w:rPr>
              <w:t>7.82</w:t>
            </w:r>
          </w:p>
        </w:tc>
        <w:tc>
          <w:tcPr>
            <w:tcW w:type="dxa" w:w="3060"/>
            <w:vAlign w:val="center"/>
          </w:tcPr>
          <w:p>
            <w:r>
              <w:rPr>
                <w:rFonts w:eastAsia="宋体" w:ascii="Times New Roman" w:hAnsi="Times New Roman" w:cs="Times New Roman"/>
                <w:b w:val="false"/>
                <w:i w:val="false"/>
                <w:sz w:val="22"/>
              </w:rPr>
              <w:t>1.47</w:t>
            </w:r>
          </w:p>
        </w:tc>
        <w:tc>
          <w:tcPr>
            <w:tcW w:type="dxa" w:w="3060"/>
            <w:vAlign w:val="center"/>
          </w:tcPr>
          <w:p>
            <w:r>
              <w:rPr>
                <w:rFonts w:eastAsia="宋体" w:ascii="Times New Roman" w:hAnsi="Times New Roman" w:cs="Times New Roman"/>
                <w:b w:val="false"/>
                <w:i w:val="false"/>
                <w:sz w:val="22"/>
              </w:rPr>
              <w:t>+6.94% YoY</w:t>
            </w:r>
          </w:p>
        </w:tc>
      </w:tr>
      <w:tr>
        <w:tc>
          <w:tcPr>
            <w:tcW w:type="dxa" w:w="3060"/>
            <w:vAlign w:val="center"/>
          </w:tcPr>
          <w:p>
            <w:r>
              <w:rPr>
                <w:rFonts w:eastAsia="宋体" w:ascii="Times New Roman" w:hAnsi="Times New Roman" w:cs="Times New Roman"/>
                <w:b w:val="false"/>
                <w:i w:val="false"/>
                <w:sz w:val="22"/>
              </w:rPr>
              <w:t>归母净利润（万元）</w:t>
            </w:r>
          </w:p>
        </w:tc>
        <w:tc>
          <w:tcPr>
            <w:tcW w:type="dxa" w:w="3060"/>
            <w:vAlign w:val="center"/>
          </w:tcPr>
          <w:p>
            <w:r>
              <w:rPr>
                <w:rFonts w:eastAsia="宋体" w:ascii="Times New Roman" w:hAnsi="Times New Roman" w:cs="Times New Roman"/>
                <w:b w:val="false"/>
                <w:i w:val="false"/>
                <w:sz w:val="22"/>
              </w:rPr>
              <w:t>-6922.37</w:t>
            </w:r>
          </w:p>
        </w:tc>
        <w:tc>
          <w:tcPr>
            <w:tcW w:type="dxa" w:w="3060"/>
            <w:vAlign w:val="center"/>
          </w:tcPr>
          <w:p>
            <w:r>
              <w:rPr>
                <w:rFonts w:eastAsia="宋体" w:ascii="Times New Roman" w:hAnsi="Times New Roman" w:cs="Times New Roman"/>
                <w:b w:val="false"/>
                <w:i w:val="false"/>
                <w:sz w:val="22"/>
              </w:rPr>
              <w:t>-1195.67</w:t>
            </w:r>
          </w:p>
        </w:tc>
        <w:tc>
          <w:tcPr>
            <w:tcW w:type="dxa" w:w="3060"/>
            <w:vAlign w:val="center"/>
          </w:tcPr>
          <w:p>
            <w:r>
              <w:rPr>
                <w:rFonts w:eastAsia="宋体" w:ascii="Times New Roman" w:hAnsi="Times New Roman" w:cs="Times New Roman"/>
                <w:b w:val="false"/>
                <w:i w:val="false"/>
                <w:sz w:val="22"/>
              </w:rPr>
              <w:t>收窄51.58% YoY</w:t>
            </w:r>
          </w:p>
        </w:tc>
      </w:tr>
      <w:tr>
        <w:tc>
          <w:tcPr>
            <w:tcW w:type="dxa" w:w="3060"/>
            <w:vAlign w:val="center"/>
          </w:tcPr>
          <w:p>
            <w:r>
              <w:rPr>
                <w:rFonts w:eastAsia="宋体" w:ascii="Times New Roman" w:hAnsi="Times New Roman" w:cs="Times New Roman"/>
                <w:b w:val="false"/>
                <w:i w:val="false"/>
                <w:sz w:val="22"/>
              </w:rPr>
              <w:t>毛利率（%）</w:t>
            </w:r>
          </w:p>
        </w:tc>
        <w:tc>
          <w:tcPr>
            <w:tcW w:type="dxa" w:w="3060"/>
            <w:vAlign w:val="center"/>
          </w:tcPr>
          <w:p>
            <w:r>
              <w:rPr>
                <w:rFonts w:eastAsia="宋体" w:ascii="Times New Roman" w:hAnsi="Times New Roman" w:cs="Times New Roman"/>
                <w:b w:val="false"/>
                <w:i w:val="false"/>
                <w:sz w:val="22"/>
              </w:rPr>
              <w:t>29.70</w:t>
            </w:r>
          </w:p>
        </w:tc>
        <w:tc>
          <w:tcPr>
            <w:tcW w:type="dxa" w:w="3060"/>
            <w:vAlign w:val="center"/>
          </w:tcPr>
          <w:p>
            <w:r>
              <w:rPr>
                <w:rFonts w:eastAsia="宋体" w:ascii="Times New Roman" w:hAnsi="Times New Roman" w:cs="Times New Roman"/>
                <w:b w:val="false"/>
                <w:i w:val="false"/>
                <w:sz w:val="22"/>
              </w:rPr>
              <w:t>31.08</w:t>
            </w:r>
          </w:p>
        </w:tc>
        <w:tc>
          <w:tcPr>
            <w:tcW w:type="dxa" w:w="3060"/>
            <w:vAlign w:val="center"/>
          </w:tcPr>
          <w:p>
            <w:r>
              <w:rPr>
                <w:rFonts w:eastAsia="宋体" w:ascii="Times New Roman" w:hAnsi="Times New Roman" w:cs="Times New Roman"/>
                <w:b w:val="false"/>
                <w:i w:val="false"/>
                <w:sz w:val="22"/>
              </w:rPr>
              <w:t>+1.38 p.p.</w:t>
            </w:r>
          </w:p>
        </w:tc>
      </w:tr>
      <w:tr>
        <w:tc>
          <w:tcPr>
            <w:tcW w:type="dxa" w:w="3060"/>
            <w:vAlign w:val="center"/>
          </w:tcPr>
          <w:p>
            <w:r>
              <w:rPr>
                <w:rFonts w:eastAsia="宋体" w:ascii="Times New Roman" w:hAnsi="Times New Roman" w:cs="Times New Roman"/>
                <w:b w:val="false"/>
                <w:i w:val="false"/>
                <w:sz w:val="22"/>
              </w:rPr>
              <w:t>研发投入占比（%）</w:t>
            </w:r>
          </w:p>
        </w:tc>
        <w:tc>
          <w:tcPr>
            <w:tcW w:type="dxa" w:w="3060"/>
            <w:vAlign w:val="center"/>
          </w:tcPr>
          <w:p>
            <w:r>
              <w:rPr>
                <w:rFonts w:eastAsia="宋体" w:ascii="Times New Roman" w:hAnsi="Times New Roman" w:cs="Times New Roman"/>
                <w:b w:val="false"/>
                <w:i w:val="false"/>
                <w:sz w:val="22"/>
              </w:rPr>
              <w:t>23.48</w:t>
            </w:r>
          </w:p>
        </w:tc>
        <w:tc>
          <w:tcPr>
            <w:tcW w:type="dxa" w:w="3060"/>
            <w:vAlign w:val="center"/>
          </w:tcPr>
          <w:p>
            <w:r>
              <w:rPr>
                <w:rFonts w:eastAsia="宋体" w:ascii="Times New Roman" w:hAnsi="Times New Roman" w:cs="Times New Roman"/>
                <w:b w:val="false"/>
                <w:i w:val="false"/>
                <w:sz w:val="22"/>
              </w:rPr>
              <w:t>-</w:t>
            </w:r>
          </w:p>
        </w:tc>
        <w:tc>
          <w:tcPr>
            <w:tcW w:type="dxa" w:w="3060"/>
            <w:vAlign w:val="center"/>
          </w:tcPr>
          <w:p>
            <w:r>
              <w:rPr>
                <w:rFonts w:eastAsia="宋体" w:ascii="Times New Roman" w:hAnsi="Times New Roman" w:cs="Times New Roman"/>
                <w:b w:val="false"/>
                <w:i w:val="false"/>
                <w:sz w:val="22"/>
              </w:rPr>
              <w:t>-24.31% YoY</w:t>
            </w:r>
          </w:p>
        </w:tc>
      </w:tr>
      <w:tr>
        <w:tc>
          <w:tcPr>
            <w:tcW w:type="dxa" w:w="3060"/>
            <w:vAlign w:val="center"/>
          </w:tcPr>
          <w:p>
            <w:r>
              <w:rPr>
                <w:rFonts w:eastAsia="宋体" w:ascii="Times New Roman" w:hAnsi="Times New Roman" w:cs="Times New Roman"/>
                <w:b w:val="false"/>
                <w:i w:val="false"/>
                <w:sz w:val="22"/>
              </w:rPr>
              <w:t>经营现金流净额（万元）</w:t>
            </w:r>
          </w:p>
        </w:tc>
        <w:tc>
          <w:tcPr>
            <w:tcW w:type="dxa" w:w="3060"/>
            <w:vAlign w:val="center"/>
          </w:tcPr>
          <w:p>
            <w:r>
              <w:rPr>
                <w:rFonts w:eastAsia="宋体" w:ascii="Times New Roman" w:hAnsi="Times New Roman" w:cs="Times New Roman"/>
                <w:b w:val="false"/>
                <w:i w:val="false"/>
                <w:sz w:val="22"/>
              </w:rPr>
              <w:t>18800.00</w:t>
            </w:r>
          </w:p>
        </w:tc>
        <w:tc>
          <w:tcPr>
            <w:tcW w:type="dxa" w:w="3060"/>
            <w:vAlign w:val="center"/>
          </w:tcPr>
          <w:p>
            <w:r>
              <w:rPr>
                <w:rFonts w:eastAsia="宋体" w:ascii="Times New Roman" w:hAnsi="Times New Roman" w:cs="Times New Roman"/>
                <w:b w:val="false"/>
                <w:i w:val="false"/>
                <w:sz w:val="22"/>
              </w:rPr>
              <w:t>-7014.74</w:t>
            </w:r>
          </w:p>
        </w:tc>
        <w:tc>
          <w:tcPr>
            <w:tcW w:type="dxa" w:w="3060"/>
            <w:vAlign w:val="center"/>
          </w:tcPr>
          <w:p>
            <w:r>
              <w:rPr>
                <w:rFonts w:eastAsia="宋体" w:ascii="Times New Roman" w:hAnsi="Times New Roman" w:cs="Times New Roman"/>
                <w:b w:val="false"/>
                <w:i w:val="false"/>
                <w:sz w:val="22"/>
              </w:rPr>
              <w:t>-286.98% YoY</w:t>
            </w:r>
          </w:p>
        </w:tc>
      </w:tr>
    </w:tbl>
    <w:p>
      <w:pPr>
        <w:spacing w:line="240" w:lineRule="auto" w:before="120" w:after="120"/>
        <w:ind w:firstLine="0"/>
        <w:jc w:val="left"/>
      </w:pPr>
      <w:r>
        <w:rPr>
          <w:rFonts w:eastAsia="宋体" w:ascii="Times New Roman" w:hAnsi="Times New Roman" w:cs="Times New Roman"/>
          <w:b w:val="false"/>
          <w:i w:val="true"/>
          <w:sz w:val="22"/>
        </w:rPr>
        <w:t>表格数据综合自2025-2026年财报披露</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[23]</w:t>
      </w:r>
    </w:p>
    <w:p>
      <w:pPr>
        <w:pStyle w:val="EM_H1_STYLE"/>
        <w:spacing w:line="240" w:lineRule="auto" w:before="600" w:after="120"/>
        <w:ind w:left="0"/>
        <w:jc w:val="left"/>
      </w:pPr>
      <w:r>
        <w:rPr>
          <w:rFonts w:eastAsia="宋体" w:ascii="宋体" w:hAnsi="宋体" w:cs="宋体"/>
          <w:b w:val="true"/>
          <w:i w:val="false"/>
          <w:sz w:val="36"/>
        </w:rPr>
        <w:t>参考来源</w:t>
      </w:r>
    </w:p>
    <w:p>
      <w:pPr>
        <w:spacing w:line="240" w:lineRule="auto" w:before="120" w:after="120"/>
        <w:ind w:left="0"/>
        <w:jc w:val="left"/>
      </w:pPr>
      <w:r>
        <w:rPr>
          <w:rFonts w:eastAsia="宋体" w:ascii="Times New Roman" w:hAnsi="Times New Roman" w:cs="Times New Roman"/>
          <w:b w:val="false"/>
          <w:i w:val="false"/>
          <w:sz w:val="22"/>
        </w:rPr>
        <w:t xml:space="preserve">[1] 华力创通 | 2025-12-22 10:07:00 | (https://baike.baidu.com/item/%E5%8D%8E%E5%8A%9B%E5%88%9B%E9%80%9A) </w:t>
      </w:r>
    </w:p>
    <w:p>
      <w:pPr>
        <w:spacing w:line="240" w:lineRule="auto" w:before="120" w:after="120"/>
        <w:ind w:left="0"/>
        <w:jc w:val="left"/>
      </w:pPr>
      <w:r>
        <w:rPr>
          <w:rFonts w:eastAsia="宋体" w:ascii="Times New Roman" w:hAnsi="Times New Roman" w:cs="Times New Roman"/>
          <w:b w:val="false"/>
          <w:i w:val="false"/>
          <w:sz w:val="22"/>
        </w:rPr>
        <w:t xml:space="preserve">[2] 华力创通的前世今生：营收7.82亿低于行业平均，净利润-6940.7万排名靠后|前海开源中证军工指数A|军工电子相关基金|证券相关基金|地理信息|流通股东_新浪新闻 | 2026-05-01 07:56:00 | (https://k.sina.com.cn/article_5953189932_162d6782c0670476x4.html) </w:t>
      </w:r>
    </w:p>
    <w:p>
      <w:pPr>
        <w:spacing w:line="240" w:lineRule="auto" w:before="120" w:after="120"/>
        <w:ind w:left="0"/>
        <w:jc w:val="left"/>
      </w:pPr>
      <w:r>
        <w:rPr>
          <w:rFonts w:eastAsia="宋体" w:ascii="Times New Roman" w:hAnsi="Times New Roman" w:cs="Times New Roman"/>
          <w:b w:val="false"/>
          <w:i w:val="false"/>
          <w:sz w:val="22"/>
        </w:rPr>
        <w:t xml:space="preserve">[3] 华力创通2026年Q1业绩报告：营收增长，亏损收窄，展现稳健发展潜力_公司_盈利_归母 | 2026-04-27 21:44:00 | (https://www.sohu.com/a/1015370431_121956424) </w:t>
      </w:r>
    </w:p>
    <w:p>
      <w:pPr>
        <w:spacing w:line="240" w:lineRule="auto" w:before="120" w:after="120"/>
        <w:ind w:left="0"/>
        <w:jc w:val="left"/>
      </w:pPr>
      <w:r>
        <w:rPr>
          <w:rFonts w:eastAsia="宋体" w:ascii="Times New Roman" w:hAnsi="Times New Roman" w:cs="Times New Roman"/>
          <w:b w:val="false"/>
          <w:i w:val="false"/>
          <w:sz w:val="22"/>
        </w:rPr>
        <w:t xml:space="preserve">[4] 华力创通：2025年亏损6922.37万元 | 2026-04-21 23:19:40 | (https://newzzbcx.cs.com.cn/cxnews.html?name=new20260421231940zvgwvdjh) </w:t>
      </w:r>
    </w:p>
    <w:p>
      <w:pPr>
        <w:spacing w:line="240" w:lineRule="auto" w:before="120" w:after="120"/>
        <w:ind w:left="0"/>
        <w:jc w:val="left"/>
      </w:pPr>
      <w:r>
        <w:rPr>
          <w:rFonts w:eastAsia="宋体" w:ascii="Times New Roman" w:hAnsi="Times New Roman" w:cs="Times New Roman"/>
          <w:b w:val="false"/>
          <w:i w:val="false"/>
          <w:sz w:val="22"/>
        </w:rPr>
        <w:t xml:space="preserve">[5] 华力创通涨3.95%，成交额4.83亿元，近3日主力净流入1821.04万_新浪财经_新浪网 | 2026-04-30 15:09:00 | (https://finance.sina.com.cn/stock/aiassist/ggsp/2026-04-30/doc-inhwhkua7045223.shtml) </w:t>
      </w:r>
    </w:p>
    <w:p>
      <w:pPr>
        <w:spacing w:line="240" w:lineRule="auto" w:before="120" w:after="120"/>
        <w:ind w:left="0"/>
        <w:jc w:val="left"/>
      </w:pPr>
      <w:r>
        <w:rPr>
          <w:rFonts w:eastAsia="宋体" w:ascii="Times New Roman" w:hAnsi="Times New Roman" w:cs="Times New Roman"/>
          <w:b w:val="false"/>
          <w:i w:val="false"/>
          <w:sz w:val="22"/>
        </w:rPr>
        <w:t xml:space="preserve">[6] 华力创通2025年营收7.82亿元增42.91%，扣非净亏损6593.09万元，卫星应用成第一大业务 | 2026-04-22 18:00:47 </w:t>
      </w:r>
    </w:p>
    <w:p>
      <w:pPr>
        <w:spacing w:line="240" w:lineRule="auto" w:before="120" w:after="120"/>
        <w:ind w:left="0"/>
        <w:jc w:val="left"/>
      </w:pPr>
      <w:r>
        <w:rPr>
          <w:rFonts w:eastAsia="宋体" w:ascii="Times New Roman" w:hAnsi="Times New Roman" w:cs="Times New Roman"/>
          <w:b w:val="false"/>
          <w:i w:val="false"/>
          <w:sz w:val="22"/>
        </w:rPr>
        <w:t xml:space="preserve">[7] 华力创通：公司主营业务包括卫星应用、雷达信号处理、航空电子、无人系统和仿真测试 | 2026-03-06 21:39:00 | (http://www.zqrb.cn/gscy/ggkx/2026-03-06/A1772802655582.html) </w:t>
      </w:r>
    </w:p>
    <w:p>
      <w:pPr>
        <w:spacing w:line="240" w:lineRule="auto" w:before="120" w:after="120"/>
        <w:ind w:left="0"/>
        <w:jc w:val="left"/>
      </w:pPr>
      <w:r>
        <w:rPr>
          <w:rFonts w:eastAsia="宋体" w:ascii="Times New Roman" w:hAnsi="Times New Roman" w:cs="Times New Roman"/>
          <w:b w:val="false"/>
          <w:i w:val="false"/>
          <w:sz w:val="22"/>
        </w:rPr>
        <w:t xml:space="preserve">[8] 华力创通2025年营收7.82亿元同比增42.91%，亏损大幅收窄 - 经济观察网 － 专业财经新闻网站 | 2026-04-24 17:18:00 | (https://www.eeo.com.cn/2026/0424/850468.shtml) </w:t>
      </w:r>
    </w:p>
    <w:p>
      <w:pPr>
        <w:spacing w:line="240" w:lineRule="auto" w:before="120" w:after="120"/>
        <w:ind w:left="0"/>
        <w:jc w:val="left"/>
      </w:pPr>
      <w:r>
        <w:rPr>
          <w:rFonts w:eastAsia="宋体" w:ascii="Times New Roman" w:hAnsi="Times New Roman" w:cs="Times New Roman"/>
          <w:b w:val="false"/>
          <w:i w:val="false"/>
          <w:sz w:val="22"/>
        </w:rPr>
        <w:t xml:space="preserve">[9] 华力创通涨2.09%，成交额1.07亿元，主力资金净流入287.46万元_卫星导航系统_应用_测试 | 2026-04-30 10:27:00 | (https://www.sohu.com/a/1016605540_122014422) </w:t>
      </w:r>
    </w:p>
    <w:p>
      <w:pPr>
        <w:spacing w:line="240" w:lineRule="auto" w:before="120" w:after="120"/>
        <w:ind w:left="0"/>
        <w:jc w:val="left"/>
      </w:pPr>
      <w:r>
        <w:rPr>
          <w:rFonts w:eastAsia="宋体" w:ascii="Times New Roman" w:hAnsi="Times New Roman" w:cs="Times New Roman"/>
          <w:b w:val="false"/>
          <w:i w:val="false"/>
          <w:sz w:val="22"/>
        </w:rPr>
        <w:t xml:space="preserve">[10] 华力创通跌2.47%，成交额4.79亿元，近5日主力净流入-1.24亿|前海开源中证军工指数A|航空航天ETF|卫星通信|换手率|车联网_新浪新闻 | 2026-04-23 15:12:00 | (https://k.sina.com.cn/article_5952915720_162d2490806703rq2s.html) </w:t>
      </w:r>
    </w:p>
    <w:p>
      <w:pPr>
        <w:spacing w:line="240" w:lineRule="auto" w:before="120" w:after="120"/>
        <w:ind w:left="0"/>
        <w:jc w:val="left"/>
      </w:pPr>
      <w:r>
        <w:rPr>
          <w:rFonts w:eastAsia="宋体" w:ascii="Times New Roman" w:hAnsi="Times New Roman" w:cs="Times New Roman"/>
          <w:b w:val="false"/>
          <w:i w:val="false"/>
          <w:sz w:val="22"/>
        </w:rPr>
        <w:t xml:space="preserve">[11] 华力创通4月28日获融资买入2669.31万元，融资余额9.09亿元|成交额|流通股东|ETF|融券|中证1000_新浪新闻 | 2026-04-29 09:07:00 | (https://k.sina.com.cn/article_5953466437_162dab0450670aht7w.html) </w:t>
      </w:r>
    </w:p>
    <w:p>
      <w:pPr>
        <w:spacing w:line="240" w:lineRule="auto" w:before="120" w:after="120"/>
        <w:ind w:left="0"/>
        <w:jc w:val="left"/>
      </w:pPr>
      <w:r>
        <w:rPr>
          <w:rFonts w:eastAsia="宋体" w:ascii="Times New Roman" w:hAnsi="Times New Roman" w:cs="Times New Roman"/>
          <w:b w:val="false"/>
          <w:i w:val="false"/>
          <w:sz w:val="22"/>
        </w:rPr>
        <w:t xml:space="preserve">[12] 华力创通跌2.00%，成交额1.09亿元，主力资金净流出611.23万元|华力创通|主力资金|大流通股东|仿真|中证军工_新浪新闻 | 2026-04-23 09:53:00 | (https://k.sina.com.cn/article_5953466437_162dab0450670agfuk.html) </w:t>
      </w:r>
    </w:p>
    <w:p>
      <w:pPr>
        <w:spacing w:line="240" w:lineRule="auto" w:before="120" w:after="120"/>
        <w:ind w:left="0"/>
        <w:jc w:val="left"/>
      </w:pPr>
      <w:r>
        <w:rPr>
          <w:rFonts w:eastAsia="宋体" w:ascii="Times New Roman" w:hAnsi="Times New Roman" w:cs="Times New Roman"/>
          <w:b w:val="false"/>
          <w:i w:val="false"/>
          <w:sz w:val="22"/>
        </w:rPr>
        <w:t xml:space="preserve">[13] 华力创通：公司在卫星通信领域具备“通导一体”核心技术优势 | 2025-12-29 18:01:00 | (https://www.sohu.com/a/970551925_121857546) </w:t>
      </w:r>
    </w:p>
    <w:p>
      <w:pPr>
        <w:spacing w:line="240" w:lineRule="auto" w:before="120" w:after="120"/>
        <w:ind w:left="0"/>
        <w:jc w:val="left"/>
      </w:pPr>
      <w:r>
        <w:rPr>
          <w:rFonts w:eastAsia="宋体" w:ascii="Times New Roman" w:hAnsi="Times New Roman" w:cs="Times New Roman"/>
          <w:b w:val="false"/>
          <w:i w:val="false"/>
          <w:sz w:val="22"/>
        </w:rPr>
        <w:t xml:space="preserve">[14] 华力创通：是国内少数同时掌握卫星通信与卫星导航双核心技术的民营企业，构建了芯片到解决方案完整产业链_网易订阅 | 2026-02-10 21:57:07 | (https://www.163.com/dy/article/KLEHR8JH0519QIKK.html) </w:t>
      </w:r>
    </w:p>
    <w:p>
      <w:pPr>
        <w:spacing w:line="240" w:lineRule="auto" w:before="120" w:after="120"/>
        <w:ind w:left="0"/>
        <w:jc w:val="left"/>
      </w:pPr>
      <w:r>
        <w:rPr>
          <w:rFonts w:eastAsia="宋体" w:ascii="Times New Roman" w:hAnsi="Times New Roman" w:cs="Times New Roman"/>
          <w:b w:val="false"/>
          <w:i w:val="false"/>
          <w:sz w:val="22"/>
        </w:rPr>
        <w:t xml:space="preserve">[15] 华力创通：卫星通信成标配，国产唯一量产龙头尽享行业红利 - 今日头条 | 2026-01-26 00:14:00 | (https://www.toutiao.com/article/7599332388136616494) </w:t>
      </w:r>
    </w:p>
    <w:p>
      <w:pPr>
        <w:spacing w:line="240" w:lineRule="auto" w:before="120" w:after="120"/>
        <w:ind w:left="0"/>
        <w:jc w:val="left"/>
      </w:pPr>
      <w:r>
        <w:rPr>
          <w:rFonts w:eastAsia="宋体" w:ascii="Times New Roman" w:hAnsi="Times New Roman" w:cs="Times New Roman"/>
          <w:b w:val="false"/>
          <w:i w:val="false"/>
          <w:sz w:val="22"/>
        </w:rPr>
        <w:t xml:space="preserve">[16] 华力创通深度分析 | 2026-01-21 07:21:00 | (https://xueqiu.com/6468928093/372087033?_ugc_source=ugctoutiao) </w:t>
      </w:r>
    </w:p>
    <w:p>
      <w:pPr>
        <w:spacing w:line="240" w:lineRule="auto" w:before="120" w:after="120"/>
        <w:ind w:left="0"/>
        <w:jc w:val="left"/>
      </w:pPr>
      <w:r>
        <w:rPr>
          <w:rFonts w:eastAsia="宋体" w:ascii="Times New Roman" w:hAnsi="Times New Roman" w:cs="Times New Roman"/>
          <w:b w:val="false"/>
          <w:i w:val="false"/>
          <w:sz w:val="22"/>
        </w:rPr>
        <w:t xml:space="preserve">[17] 华力创通 | 2025-08-04 11:09:00 | (https://xueqiu.com/4120303666/345425218) </w:t>
      </w:r>
    </w:p>
    <w:p>
      <w:pPr>
        <w:spacing w:line="240" w:lineRule="auto" w:before="120" w:after="120"/>
        <w:ind w:left="0"/>
        <w:jc w:val="left"/>
      </w:pPr>
      <w:r>
        <w:rPr>
          <w:rFonts w:eastAsia="宋体" w:ascii="Times New Roman" w:hAnsi="Times New Roman" w:cs="Times New Roman"/>
          <w:b w:val="false"/>
          <w:i w:val="false"/>
          <w:sz w:val="22"/>
        </w:rPr>
        <w:t xml:space="preserve">[18] 华力创通：卫星通信核心芯片龙头，华为独家供应商的爆发潜力！ | 2025-09-10 18:28:00 | (https://mp.weixin.qq.com/s/dmc7rRbrQNdg7ODT3qAGdw) </w:t>
      </w:r>
    </w:p>
    <w:p>
      <w:pPr>
        <w:spacing w:line="240" w:lineRule="auto" w:before="120" w:after="120"/>
        <w:ind w:left="0"/>
        <w:jc w:val="left"/>
      </w:pPr>
      <w:r>
        <w:rPr>
          <w:rFonts w:eastAsia="宋体" w:ascii="Times New Roman" w:hAnsi="Times New Roman" w:cs="Times New Roman"/>
          <w:b w:val="false"/>
          <w:i w:val="false"/>
          <w:sz w:val="22"/>
        </w:rPr>
        <w:t xml:space="preserve">[19] 重磅！中国成功发射卫星互联网试验卫星，6只核心龙头全梳理 - 今日头条Loading. | 2026-05-01 12:08:00 | (https://www.toutiao.com/article/7633576324552327706) </w:t>
      </w:r>
    </w:p>
    <w:p>
      <w:pPr>
        <w:spacing w:line="240" w:lineRule="auto" w:before="120" w:after="120"/>
        <w:ind w:left="0"/>
        <w:jc w:val="left"/>
      </w:pPr>
      <w:r>
        <w:rPr>
          <w:rFonts w:eastAsia="宋体" w:ascii="Times New Roman" w:hAnsi="Times New Roman" w:cs="Times New Roman"/>
          <w:b w:val="false"/>
          <w:i w:val="false"/>
          <w:sz w:val="22"/>
        </w:rPr>
        <w:t xml:space="preserve">[20] 华力创通：2025年度净利润约-6922万元 | 2026-04-21 19:14:00 | (https://m.nbd.com.cn/articles/2026-04-21/4349943.html) </w:t>
      </w:r>
    </w:p>
    <w:p>
      <w:pPr>
        <w:spacing w:line="240" w:lineRule="auto" w:before="120" w:after="120"/>
        <w:ind w:left="0"/>
        <w:jc w:val="left"/>
      </w:pPr>
      <w:r>
        <w:rPr>
          <w:rFonts w:eastAsia="宋体" w:ascii="Times New Roman" w:hAnsi="Times New Roman" w:cs="Times New Roman"/>
          <w:b w:val="false"/>
          <w:i w:val="false"/>
          <w:sz w:val="22"/>
        </w:rPr>
        <w:t xml:space="preserve">[21] 华力创通：2026年一季度亏损1195.67万元 | 2026-05-01 16:50:32 | (https://newzzbcx.cs.com.cn/cxnews.html?name=new20260501165032srkxvzul) </w:t>
      </w:r>
    </w:p>
    <w:p>
      <w:pPr>
        <w:spacing w:line="240" w:lineRule="auto" w:before="120" w:after="120"/>
        <w:ind w:left="0"/>
        <w:jc w:val="left"/>
      </w:pPr>
      <w:r>
        <w:rPr>
          <w:rFonts w:eastAsia="宋体" w:ascii="Times New Roman" w:hAnsi="Times New Roman" w:cs="Times New Roman"/>
          <w:b w:val="false"/>
          <w:i w:val="false"/>
          <w:sz w:val="22"/>
        </w:rPr>
        <w:t xml:space="preserve">[22] 图解财报：华力创通一季度归母净利润-1195.67万元，上年同期-1737.18万元 | 2026-04-27 18:11:26 </w:t>
      </w:r>
    </w:p>
    <w:p>
      <w:pPr>
        <w:spacing w:line="240" w:lineRule="auto" w:before="120" w:after="120"/>
        <w:ind w:left="0"/>
        <w:jc w:val="left"/>
      </w:pPr>
      <w:r>
        <w:rPr>
          <w:rFonts w:eastAsia="宋体" w:ascii="Times New Roman" w:hAnsi="Times New Roman" w:cs="Times New Roman"/>
          <w:b w:val="false"/>
          <w:i w:val="false"/>
          <w:sz w:val="22"/>
        </w:rPr>
        <w:t xml:space="preserve">[23] 华力创通一季度营收1.47亿元同比增6.94%，归母净利润-1195.67万元同比增31.17%，销售费用同比增长29.00%|华力创通_新浪财经_新浪网 | 2026-04-28 19:05:00 | (https://finance.sina.com.cn/stock/aiassist/yjbg/2026-04-28/doc-inhwaavw8507285.shtml) </w:t>
      </w:r>
    </w:p>
    <w:p>
      <w:pPr>
        <w:spacing w:line="240" w:lineRule="auto" w:before="120" w:after="120"/>
        <w:ind w:left="0"/>
        <w:jc w:val="left"/>
      </w:pPr>
      <w:r>
        <w:rPr>
          <w:rFonts w:eastAsia="宋体" w:ascii="Times New Roman" w:hAnsi="Times New Roman" w:cs="Times New Roman"/>
          <w:b w:val="false"/>
          <w:i w:val="false"/>
          <w:sz w:val="22"/>
        </w:rPr>
        <w:t xml:space="preserve">[24] 华力创通2026年一季报解读：经营现金流净额大降286.98% 财务费用猛增408.76%_公司_同比增长_亏损 | 2026-04-29 12:58:00 | (https://www.sohu.com/a/1016170937_122014422) </w:t>
      </w:r>
    </w:p>
    <w:p>
      <w:pPr>
        <w:spacing w:line="240" w:lineRule="auto" w:before="120" w:after="120"/>
        <w:ind w:left="0"/>
        <w:jc w:val="left"/>
      </w:pPr>
      <w:r>
        <w:rPr>
          <w:rFonts w:eastAsia="宋体" w:ascii="Times New Roman" w:hAnsi="Times New Roman" w:cs="Times New Roman"/>
          <w:b w:val="false"/>
          <w:i w:val="false"/>
          <w:sz w:val="22"/>
        </w:rPr>
        <w:t xml:space="preserve">[25] 华力创通(300045.SZ)：2026年一季报净利润为-1195.67万元 | 2026-04-28 10:15:21 </w:t>
      </w:r>
    </w:p>
    <w:p>
      <w:pPr>
        <w:spacing w:line="240" w:lineRule="auto" w:before="120" w:after="120"/>
        <w:ind w:left="0"/>
        <w:jc w:val="left"/>
      </w:pPr>
      <w:r>
        <w:rPr>
          <w:rFonts w:eastAsia="宋体" w:ascii="Times New Roman" w:hAnsi="Times New Roman" w:cs="Times New Roman"/>
          <w:b w:val="false"/>
          <w:i w:val="false"/>
          <w:sz w:val="22"/>
        </w:rPr>
        <w:t xml:space="preserve">[26] 华力创通2025年报解读：营收增42.91%仍亏损6.92亿 财务费用剧增1078.63%|财务指标|驱动力|净利润|每股收益|管理费用_新浪新闻 | 2026-04-24 21:52:00 | (https://k.sina.com.cn/article_5953466437_162dab0450670agxrw.html) </w:t>
      </w:r>
    </w:p>
    <w:p>
      <w:pPr>
        <w:spacing w:line="240" w:lineRule="auto" w:before="120" w:after="120"/>
        <w:ind w:left="0"/>
        <w:jc w:val="left"/>
      </w:pPr>
      <w:r>
        <w:rPr>
          <w:rFonts w:eastAsia="宋体" w:ascii="Times New Roman" w:hAnsi="Times New Roman" w:cs="Times New Roman"/>
          <w:b w:val="false"/>
          <w:i w:val="false"/>
          <w:sz w:val="22"/>
        </w:rPr>
        <w:t xml:space="preserve">[27] 华力创通一季度亏损减至1196万元|现金流|亏损额|业务毛利率_网易订阅 | 2026-04-29 10:23:41 | (https://www.163.com/dy/article/KRM55KE905568V7Z.html) </w:t>
      </w:r>
    </w:p>
    <w:p>
      <w:pPr>
        <w:spacing w:line="240" w:lineRule="auto" w:before="120" w:after="120"/>
        <w:ind w:left="0"/>
        <w:jc w:val="left"/>
      </w:pPr>
      <w:r>
        <w:rPr>
          <w:rFonts w:eastAsia="宋体" w:ascii="Times New Roman" w:hAnsi="Times New Roman" w:cs="Times New Roman"/>
          <w:b w:val="false"/>
          <w:i w:val="false"/>
          <w:sz w:val="22"/>
        </w:rPr>
        <w:t xml:space="preserve">[28] 财报速递：华力创通2026年一季度净亏损1195.67万元 | 2026-04-28 03:30:21 | (http://yuanchuang.10jqka.com.cn/20260428/c676322253.shtml) </w:t>
      </w:r>
    </w:p>
    <w:p>
      <w:pPr>
        <w:spacing w:line="240" w:lineRule="auto" w:before="120" w:after="120"/>
        <w:ind w:left="0"/>
        <w:jc w:val="left"/>
      </w:pPr>
      <w:r>
        <w:rPr>
          <w:rFonts w:eastAsia="宋体" w:ascii="Times New Roman" w:hAnsi="Times New Roman" w:cs="Times New Roman"/>
          <w:b w:val="false"/>
          <w:i w:val="false"/>
          <w:sz w:val="22"/>
        </w:rPr>
        <w:t xml:space="preserve">[29] 华力创通2025年亏损额减至6922万元 | 2026-04-21 20:15:52 | (https://www.caizhongshe.cn/news-7452326239748682842.html) </w:t>
      </w:r>
    </w:p>
    <w:p>
      <w:pPr>
        <w:spacing w:line="240" w:lineRule="auto" w:before="120" w:after="120"/>
        <w:ind w:left="0"/>
        <w:jc w:val="left"/>
      </w:pPr>
      <w:r>
        <w:rPr>
          <w:rFonts w:eastAsia="宋体" w:ascii="Times New Roman" w:hAnsi="Times New Roman" w:cs="Times New Roman"/>
          <w:b w:val="false"/>
          <w:i w:val="false"/>
          <w:sz w:val="22"/>
        </w:rPr>
        <w:t xml:space="preserve">[30] [快讯]华力创通公布年报 | 2026-04-21 20:34:03 | (http://stock.cfi.cn/p20260421002889.html) </w:t>
      </w:r>
    </w:p>
    <w:p>
      <w:pPr>
        <w:spacing w:line="240" w:lineRule="auto" w:before="120" w:after="120"/>
        <w:ind w:left="0"/>
        <w:jc w:val="left"/>
      </w:pPr>
      <w:r>
        <w:rPr>
          <w:rFonts w:eastAsia="宋体" w:ascii="Times New Roman" w:hAnsi="Times New Roman" w:cs="Times New Roman"/>
          <w:b w:val="false"/>
          <w:i w:val="false"/>
          <w:sz w:val="22"/>
        </w:rPr>
        <w:t xml:space="preserve">[31] 华力创通：2025年亏损6922.37万元 | 2026-04-21 23:19:40 | (https://newzzbcx.cs.com.cn/cxnews.html?name=new20260421231940zvgwvdjh) </w:t>
      </w:r>
    </w:p>
    <w:p>
      <w:pPr>
        <w:spacing w:line="240" w:lineRule="auto" w:before="120" w:after="120"/>
        <w:ind w:left="0"/>
        <w:jc w:val="left"/>
      </w:pPr>
      <w:r>
        <w:rPr>
          <w:rFonts w:eastAsia="宋体" w:ascii="Times New Roman" w:hAnsi="Times New Roman" w:cs="Times New Roman"/>
          <w:b w:val="false"/>
          <w:i w:val="false"/>
          <w:sz w:val="22"/>
        </w:rPr>
        <w:t xml:space="preserve">[32] 华力创通一季度财报：亏损缩减，经营质量显著改善_公司_管理层_方面 | 2026-04-29 11:26:00 | (https://www.sohu.com/a/1016108286_121956424) </w:t>
      </w:r>
    </w:p>
    <w:p>
      <w:pPr>
        <w:spacing w:line="240" w:lineRule="auto" w:before="120" w:after="120"/>
        <w:ind w:left="0"/>
        <w:jc w:val="left"/>
      </w:pPr>
      <w:r>
        <w:rPr>
          <w:rFonts w:eastAsia="宋体" w:ascii="Times New Roman" w:hAnsi="Times New Roman" w:cs="Times New Roman"/>
          <w:b w:val="false"/>
          <w:i w:val="false"/>
          <w:sz w:val="22"/>
        </w:rPr>
        <w:t xml:space="preserve">[33] 华力创通：Q1亏损收窄至1196万元，营收同比增6.9%-财中社 | 2026-04-27 21:18:16 | (https://www.caizhongshe.cn/news-7454517825064596657.html) </w:t>
      </w:r>
    </w:p>
    <w:p>
      <w:pPr>
        <w:spacing w:line="240" w:lineRule="auto" w:before="120" w:after="120"/>
        <w:ind w:left="0"/>
        <w:jc w:val="left"/>
      </w:pPr>
      <w:r>
        <w:rPr>
          <w:rFonts w:eastAsia="宋体" w:ascii="Times New Roman" w:hAnsi="Times New Roman" w:cs="Times New Roman"/>
          <w:b w:val="false"/>
          <w:i w:val="false"/>
          <w:sz w:val="22"/>
        </w:rPr>
        <w:t xml:space="preserve">[34] 鹰眼预警：华力创通经营活动净现金流/净利润比值持续下滑|净利润_新浪财经_新浪网 | 2026-04-22 00:16:00 | (https://finance.sina.com.cn/stock/yyyj/2026-04-22/doc-inhvhvwu9832739.shtml) </w:t>
      </w:r>
    </w:p>
    <w:p>
      <w:pPr>
        <w:spacing w:line="240" w:lineRule="auto" w:before="120" w:after="120"/>
        <w:ind w:left="0"/>
        <w:jc w:val="left"/>
      </w:pPr>
      <w:r>
        <w:rPr>
          <w:rFonts w:eastAsia="宋体" w:ascii="Times New Roman" w:hAnsi="Times New Roman" w:cs="Times New Roman"/>
          <w:b w:val="false"/>
          <w:i w:val="false"/>
          <w:sz w:val="22"/>
        </w:rPr>
        <w:t xml:space="preserve">[35] 鹰眼预警：华力创通营业收入下降 | 2025-08-26 00:16:00 | (https://finance.sina.com.cn/stock/yyyj/2025-08-26/doc-infnfpnv8826941.shtml) </w:t>
      </w:r>
    </w:p>
    <w:p>
      <w:pPr>
        <w:spacing w:line="240" w:lineRule="auto" w:before="120" w:after="120"/>
        <w:ind w:left="0"/>
        <w:jc w:val="left"/>
      </w:pPr>
      <w:r>
        <w:rPr>
          <w:rFonts w:eastAsia="宋体" w:ascii="Times New Roman" w:hAnsi="Times New Roman" w:cs="Times New Roman"/>
          <w:b w:val="false"/>
          <w:i w:val="false"/>
          <w:sz w:val="22"/>
        </w:rPr>
        <w:t xml:space="preserve">[36] 财报速递：华力创通2025年全年净亏损6922.37万元 | 2026-04-22 03:30:17 | (http://yuanchuang.10jqka.com.cn/20260422/c676168733.shtml) </w:t>
      </w:r>
    </w:p>
    <w:p>
      <w:pPr>
        <w:spacing w:line="240" w:lineRule="auto" w:before="120" w:after="120"/>
        <w:ind w:left="0"/>
        <w:jc w:val="left"/>
      </w:pPr>
      <w:r>
        <w:rPr>
          <w:rFonts w:eastAsia="宋体" w:ascii="Times New Roman" w:hAnsi="Times New Roman" w:cs="Times New Roman"/>
          <w:b w:val="false"/>
          <w:i w:val="false"/>
          <w:sz w:val="22"/>
        </w:rPr>
        <w:t xml:space="preserve">[37] 华力创通(300045.SZ)：2026年一季报净利润为-1195.67万元 | 2026-04-28 10:15:21 | (https://m.jiemian.com/article/14341468_eastmoney.html) </w:t>
      </w:r>
    </w:p>
    <w:p>
      <w:pPr>
        <w:spacing w:line="240" w:lineRule="auto" w:before="120" w:after="120"/>
        <w:ind w:left="0"/>
        <w:jc w:val="left"/>
      </w:pPr>
      <w:r>
        <w:rPr>
          <w:rFonts w:eastAsia="宋体" w:ascii="Times New Roman" w:hAnsi="Times New Roman" w:cs="Times New Roman"/>
          <w:b w:val="false"/>
          <w:i w:val="false"/>
          <w:sz w:val="22"/>
        </w:rPr>
        <w:t xml:space="preserve">[38] 华力创通(300045.SZ)：2025年年报净利润为-6922.37万元 | 2026-04-22 09:21:09 </w:t>
      </w:r>
    </w:p>
    <w:p>
      <w:pPr>
        <w:spacing w:line="240" w:lineRule="auto" w:before="120" w:after="120"/>
        <w:ind w:left="0"/>
        <w:jc w:val="left"/>
      </w:pPr>
      <w:r>
        <w:rPr>
          <w:rFonts w:eastAsia="宋体" w:ascii="Times New Roman" w:hAnsi="Times New Roman" w:cs="Times New Roman"/>
          <w:b w:val="false"/>
          <w:i w:val="false"/>
          <w:sz w:val="22"/>
        </w:rPr>
        <w:t xml:space="preserve">[39] 华力创通研发投入1.84亿元，同比下滑24.32%，占营业收入比例23.48%_网易订阅 | 2026-04-22 22:40:54 | (https://www.163.com/dy/article/KR5EIFFF0519QIKK.html) </w:t>
      </w:r>
    </w:p>
    <w:p>
      <w:pPr>
        <w:spacing w:line="240" w:lineRule="auto" w:before="120" w:after="120"/>
        <w:ind w:left="0"/>
        <w:jc w:val="left"/>
      </w:pPr>
      <w:r>
        <w:rPr>
          <w:rFonts w:eastAsia="宋体" w:ascii="Times New Roman" w:hAnsi="Times New Roman" w:cs="Times New Roman"/>
          <w:b w:val="false"/>
          <w:i w:val="false"/>
          <w:sz w:val="22"/>
        </w:rPr>
        <w:t xml:space="preserve">[40] 华力创通一季度营收1.47亿元同比增6.94%_网易订阅 | 2026-04-27 18:56:36 | (https://www.163.com/dy/article/KRHTNBL905568W0A.html) </w:t>
      </w:r>
    </w:p>
    <w:p>
      <w:pPr>
        <w:spacing w:line="240" w:lineRule="auto" w:before="120" w:after="120"/>
        <w:ind w:left="0"/>
        <w:jc w:val="left"/>
      </w:pPr>
      <w:r>
        <w:rPr>
          <w:rFonts w:eastAsia="宋体" w:ascii="Times New Roman" w:hAnsi="Times New Roman" w:cs="Times New Roman"/>
          <w:b w:val="false"/>
          <w:i w:val="false"/>
          <w:sz w:val="22"/>
        </w:rPr>
        <w:t xml:space="preserve">[41] 华力创通三季报解读：经营有亮点，呈现持续增强趋势 | 2025-10-23 17:04:00 | (https://www.cls.cn/detail/xk/68f9ef4813c36bafa28a9adc) </w:t>
      </w:r>
    </w:p>
    <w:p>
      <w:pPr>
        <w:spacing w:line="240" w:lineRule="auto" w:before="120" w:after="120"/>
        <w:ind w:left="0"/>
        <w:jc w:val="left"/>
      </w:pPr>
      <w:r>
        <w:rPr>
          <w:rFonts w:eastAsia="宋体" w:ascii="Times New Roman" w:hAnsi="Times New Roman" w:cs="Times New Roman"/>
          <w:b w:val="false"/>
          <w:i w:val="false"/>
          <w:sz w:val="22"/>
        </w:rPr>
        <w:t xml:space="preserve">[42] 华力创通：商业航天政策推进及低轨组网加快将积极促进公司卫星应用业务发展 | 2026-02-02 20:45:00 | (https://www.cls.cn/detail/xk/67b666e08f61d00f1ea5cb2f252d7134) </w:t>
      </w:r>
    </w:p>
    <w:p>
      <w:pPr>
        <w:spacing w:line="240" w:lineRule="auto" w:before="120" w:after="120"/>
        <w:ind w:left="0"/>
        <w:jc w:val="left"/>
      </w:pPr>
      <w:r>
        <w:rPr>
          <w:rFonts w:eastAsia="宋体" w:ascii="Times New Roman" w:hAnsi="Times New Roman" w:cs="Times New Roman"/>
          <w:b w:val="false"/>
          <w:i w:val="false"/>
          <w:sz w:val="22"/>
        </w:rPr>
        <w:t xml:space="preserve">[43] 华力创通：在商业航天领域，公司专注于卫星导航和卫星通信核心芯片技术 | 2025-12-29 20:53:00 | (http://www.zqrb.cn/gscy/ggkx/2025-12-29/A1766994938967.html) </w:t>
      </w:r>
    </w:p>
    <w:p>
      <w:pPr>
        <w:spacing w:line="240" w:lineRule="auto" w:before="120" w:after="120"/>
        <w:ind w:left="0"/>
        <w:jc w:val="left"/>
      </w:pPr>
      <w:r>
        <w:rPr>
          <w:rFonts w:eastAsia="宋体" w:ascii="Times New Roman" w:hAnsi="Times New Roman" w:cs="Times New Roman"/>
          <w:b w:val="false"/>
          <w:i w:val="false"/>
          <w:sz w:val="22"/>
        </w:rPr>
        <w:t xml:space="preserve">[44] 华力创通：公司在卫星通信领域拥有近百项相关专利 | 2026-02-02 18:58:00 | (http://www.zqrb.cn/gscy/ggkx/2026-02-02/A1770022590282.html) </w:t>
      </w:r>
    </w:p>
    <w:p>
      <w:pPr>
        <w:spacing w:line="240" w:lineRule="auto" w:before="120" w:after="120"/>
        <w:ind w:left="0"/>
        <w:jc w:val="left"/>
      </w:pPr>
      <w:r>
        <w:rPr>
          <w:rFonts w:eastAsia="宋体" w:ascii="Times New Roman" w:hAnsi="Times New Roman" w:cs="Times New Roman"/>
          <w:b w:val="false"/>
          <w:i w:val="false"/>
          <w:sz w:val="22"/>
        </w:rPr>
        <w:t xml:space="preserve">[45] 华力创通低轨卫星布局：抗辐照模组与多模SOC芯片研发进展解析 | 2025-09-30 08:51:00 | (https://m.sohu.com/a/940091044_122362510/?pvid=000115_3w_a) </w:t>
      </w:r>
    </w:p>
    <w:p>
      <w:pPr>
        <w:spacing w:line="240" w:lineRule="auto" w:before="120" w:after="120"/>
        <w:ind w:left="0"/>
        <w:jc w:val="left"/>
      </w:pPr>
      <w:r>
        <w:rPr>
          <w:rFonts w:eastAsia="宋体" w:ascii="Times New Roman" w:hAnsi="Times New Roman" w:cs="Times New Roman"/>
          <w:b w:val="false"/>
          <w:i w:val="false"/>
          <w:sz w:val="22"/>
        </w:rPr>
        <w:t xml:space="preserve">[46] 华力创通卫星通信SOC芯片研发加速：低轨卫星布局迎来新进展 | 2025-09-30 08:57:00 | (https://m.sohu.com/a/940090089_122362510) </w:t>
      </w:r>
    </w:p>
    <w:p>
      <w:pPr>
        <w:spacing w:line="240" w:lineRule="auto" w:before="120" w:after="120"/>
        <w:ind w:left="0"/>
        <w:jc w:val="left"/>
      </w:pPr>
      <w:r>
        <w:rPr>
          <w:rFonts w:eastAsia="宋体" w:ascii="Times New Roman" w:hAnsi="Times New Roman" w:cs="Times New Roman"/>
          <w:b w:val="false"/>
          <w:i w:val="false"/>
          <w:sz w:val="22"/>
        </w:rPr>
        <w:t xml:space="preserve">[47] 华力创通机构调研纪要 | 2025-09-01 00:00:00 | (https://www.fxbaogao.com/detail/5036137) </w:t>
      </w:r>
    </w:p>
    <w:p>
      <w:pPr>
        <w:spacing w:line="240" w:lineRule="auto" w:before="120" w:after="120"/>
        <w:ind w:left="0"/>
        <w:jc w:val="left"/>
      </w:pPr>
      <w:r>
        <w:rPr>
          <w:rFonts w:eastAsia="宋体" w:ascii="Times New Roman" w:hAnsi="Times New Roman" w:cs="Times New Roman"/>
          <w:b w:val="false"/>
          <w:i w:val="false"/>
          <w:sz w:val="22"/>
        </w:rPr>
        <w:t xml:space="preserve">[48] 华力创通300045，解析中国卫星导航产业的领军企业 | 2025-09-07 02:18:15 | (https://huaxiahongxing.com/post/34952.html) </w:t>
      </w:r>
    </w:p>
    <w:p>
      <w:pPr>
        <w:spacing w:line="240" w:lineRule="auto" w:before="120" w:after="120"/>
        <w:ind w:left="0"/>
        <w:jc w:val="left"/>
      </w:pPr>
      <w:r>
        <w:rPr>
          <w:rFonts w:eastAsia="宋体" w:ascii="Times New Roman" w:hAnsi="Times New Roman" w:cs="Times New Roman"/>
          <w:b w:val="false"/>
          <w:i w:val="false"/>
          <w:sz w:val="22"/>
        </w:rPr>
        <w:t xml:space="preserve">[49] 300045，卫星应用黑马，三季度营收暴增193%，低空经济布局，净利扭亏为盈！ | 2026-01-03 16:00:00 | (https://mp.weixin.qq.com/s/brSKsa7HsO5JHYfbWTgPPg) </w:t>
      </w:r>
    </w:p>
    <w:p>
      <w:pPr>
        <w:spacing w:line="240" w:lineRule="auto" w:before="120" w:after="120"/>
        <w:ind w:left="0"/>
        <w:jc w:val="left"/>
      </w:pPr>
      <w:r>
        <w:rPr>
          <w:rFonts w:eastAsia="宋体" w:ascii="Times New Roman" w:hAnsi="Times New Roman" w:cs="Times New Roman"/>
          <w:b w:val="false"/>
          <w:i w:val="false"/>
          <w:sz w:val="22"/>
        </w:rPr>
        <w:t xml:space="preserve">[50] 成功首飞！ - 今日头条 | 2025-12-16 10:57:00 | (https://www.toutiao.com/article/7584284416436863523) </w:t>
      </w:r>
    </w:p>
    <w:p>
      <w:pPr>
        <w:spacing w:line="240" w:lineRule="auto" w:before="120" w:after="120"/>
        <w:ind w:left="0"/>
        <w:jc w:val="left"/>
      </w:pPr>
      <w:r>
        <w:rPr>
          <w:rFonts w:eastAsia="宋体" w:ascii="Times New Roman" w:hAnsi="Times New Roman" w:cs="Times New Roman"/>
          <w:b w:val="false"/>
          <w:i w:val="false"/>
          <w:sz w:val="22"/>
        </w:rPr>
        <w:t xml:space="preserve">[51] 北京华力创通科技股份有限公司：2024年企业经营数据回顾 - 企业经营 - 建设通 | 2025-07-12 00:00:00 | (https://www.cbi360.net/hyzx/qyjy_681392847499269.html) </w:t>
      </w:r>
    </w:p>
    <w:p>
      <w:pPr>
        <w:spacing w:line="240" w:lineRule="auto" w:before="120" w:after="120"/>
        <w:ind w:left="0"/>
        <w:jc w:val="left"/>
      </w:pPr>
      <w:r>
        <w:rPr>
          <w:rFonts w:eastAsia="宋体" w:ascii="Times New Roman" w:hAnsi="Times New Roman" w:cs="Times New Roman"/>
          <w:b w:val="false"/>
          <w:i w:val="false"/>
          <w:sz w:val="22"/>
        </w:rPr>
        <w:t xml:space="preserve">[52] 华力创通：科技界的“秘密武器”，你不知道的那些事儿 | 2025-08-09 08:34:22 | (https://www.dorjee-group.com/a/779242.html) </w:t>
      </w:r>
    </w:p>
    <w:p>
      <w:pPr>
        <w:spacing w:line="240" w:lineRule="auto" w:before="120" w:after="120"/>
        <w:ind w:left="0"/>
        <w:jc w:val="left"/>
      </w:pPr>
      <w:r>
        <w:rPr>
          <w:rFonts w:eastAsia="宋体" w:ascii="Times New Roman" w:hAnsi="Times New Roman" w:cs="Times New Roman"/>
          <w:b w:val="false"/>
          <w:i w:val="false"/>
          <w:sz w:val="22"/>
        </w:rPr>
        <w:t xml:space="preserve">[53] 调研速递|北京华力创通接受线上投资者调研 透露2024业绩及业务布局要点|华力创通_新浪财经_新浪网 | 2025-05-13 18:13:00 | (https://finance.sina.com.cn/stock/aigc/jgdy/2025-05-13/doc-inewmhry1984296.shtml) </w:t>
      </w:r>
    </w:p>
    <w:p>
      <w:pPr>
        <w:spacing w:line="240" w:lineRule="auto" w:before="120" w:after="120"/>
        <w:ind w:left="0"/>
        <w:jc w:val="left"/>
      </w:pPr>
      <w:r>
        <w:rPr>
          <w:rFonts w:eastAsia="宋体" w:ascii="Times New Roman" w:hAnsi="Times New Roman" w:cs="Times New Roman"/>
          <w:b w:val="false"/>
          <w:i w:val="false"/>
          <w:sz w:val="22"/>
        </w:rPr>
        <w:t xml:space="preserve">[54] 华力创通加码无人机与低空经济布局 | 2025-07-31 00:00:00 | (https://m.csai.cn/yuqing/300045/2114042.html) </w:t>
      </w:r>
    </w:p>
    <w:p>
      <w:pPr>
        <w:spacing w:line="240" w:lineRule="auto" w:before="120" w:after="120"/>
        <w:ind w:left="0"/>
        <w:jc w:val="left"/>
      </w:pPr>
      <w:r>
        <w:rPr>
          <w:rFonts w:eastAsia="宋体" w:ascii="Times New Roman" w:hAnsi="Times New Roman" w:cs="Times New Roman"/>
          <w:b w:val="false"/>
          <w:i w:val="false"/>
          <w:sz w:val="22"/>
        </w:rPr>
        <w:t xml:space="preserve">[55] 场景牵引！华力创通以卫星通信技术织密全场景空天通信网 | 2025-12-17 16:52:01 | (http://stock.10jqka.com.cn/20251217/c673281155.shtml) </w:t>
      </w:r>
    </w:p>
    <w:p>
      <w:pPr>
        <w:spacing w:line="240" w:lineRule="auto" w:before="120" w:after="120"/>
        <w:ind w:left="0"/>
        <w:jc w:val="left"/>
      </w:pPr>
      <w:r>
        <w:rPr>
          <w:rFonts w:eastAsia="宋体" w:ascii="Times New Roman" w:hAnsi="Times New Roman" w:cs="Times New Roman"/>
          <w:b w:val="false"/>
          <w:i w:val="false"/>
          <w:sz w:val="22"/>
        </w:rPr>
        <w:t xml:space="preserve">[56] $华力创通(SZ300045)$ | 2025-07-18 07:17:00 | (https://xueqiu.com/1215731294/343031735) </w:t>
      </w:r>
    </w:p>
    <w:p>
      <w:pPr>
        <w:spacing w:line="240" w:lineRule="auto" w:before="120" w:after="120"/>
        <w:ind w:left="0"/>
        <w:jc w:val="left"/>
      </w:pPr>
      <w:r>
        <w:rPr>
          <w:rFonts w:eastAsia="宋体" w:ascii="Times New Roman" w:hAnsi="Times New Roman" w:cs="Times New Roman"/>
          <w:b w:val="false"/>
          <w:i w:val="false"/>
          <w:sz w:val="22"/>
        </w:rPr>
        <w:t xml:space="preserve">[57] 华力创通：公司生产运营整体平稳有序 | 2026-04-30 17:02:17 | (http://sc.stock.cnfol.com/gushiyaowen/20260430/32194143.shtml) </w:t>
      </w:r>
    </w:p>
    <w:p>
      <w:pPr>
        <w:spacing w:line="240" w:lineRule="auto" w:before="120" w:after="120"/>
        <w:ind w:left="0"/>
        <w:jc w:val="left"/>
      </w:pPr>
      <w:r>
        <w:rPr>
          <w:rFonts w:eastAsia="宋体" w:ascii="Times New Roman" w:hAnsi="Times New Roman" w:cs="Times New Roman"/>
          <w:b w:val="false"/>
          <w:i w:val="false"/>
          <w:sz w:val="22"/>
        </w:rPr>
        <w:t xml:space="preserve">[58] 解读卫星互联网产业股票的两条主线：相控阵天线和射频芯片 - 今日头条Loading. | 2026-04-26 14:29:00 | (https://www.toutiao.com/article/7632630294440395314) </w:t>
      </w:r>
    </w:p>
    <w:p>
      <w:pPr>
        <w:spacing w:line="240" w:lineRule="auto" w:before="120" w:after="120"/>
        <w:ind w:left="0"/>
        <w:jc w:val="left"/>
      </w:pPr>
      <w:r>
        <w:rPr>
          <w:rFonts w:eastAsia="宋体" w:ascii="Times New Roman" w:hAnsi="Times New Roman" w:cs="Times New Roman"/>
          <w:b w:val="false"/>
          <w:i w:val="false"/>
          <w:sz w:val="22"/>
        </w:rPr>
        <w:t xml:space="preserve">[59] 华力创通全产业链成果亮相第四届北斗规模应用国际峰会 | 2025-09-26 00:00:00 | (https://www.bsia.org.cn/site/content/30700.html) </w:t>
      </w:r>
    </w:p>
    <w:p>
      <w:pPr>
        <w:spacing w:line="240" w:lineRule="auto" w:before="120" w:after="120"/>
        <w:ind w:left="0"/>
        <w:jc w:val="left"/>
      </w:pPr>
      <w:r>
        <w:rPr>
          <w:rFonts w:eastAsia="宋体" w:ascii="Times New Roman" w:hAnsi="Times New Roman" w:cs="Times New Roman"/>
          <w:b w:val="false"/>
          <w:i w:val="false"/>
          <w:sz w:val="22"/>
        </w:rPr>
        <w:t xml:space="preserve">[60] 华力创通2025年报解读：营收增42.91%仍亏损6.92亿 财务费用剧增1078.63%|费用_新浪财经_新浪网 | 2026-04-22 00:00:00 | (https://finance.sina.com.cn/stock/aigc/stockfs/2026-04-22/doc-inhvhmhz0024555.shtml) </w:t>
      </w:r>
    </w:p>
    <w:p>
      <w:pPr>
        <w:spacing w:line="240" w:lineRule="auto" w:before="120" w:after="120"/>
        <w:ind w:left="0"/>
        <w:jc w:val="left"/>
      </w:pPr>
      <w:r>
        <w:rPr>
          <w:rFonts w:eastAsia="宋体" w:ascii="Times New Roman" w:hAnsi="Times New Roman" w:cs="Times New Roman"/>
          <w:b w:val="false"/>
          <w:i w:val="false"/>
          <w:sz w:val="22"/>
        </w:rPr>
        <w:t xml:space="preserve">[61] 华力创通2025年营收7.82亿元同比增42.91%，归母净利润-6922.37万元同比增51.58%，研发费用同比下降20.12%|华力创通_新浪财经_新浪网 | 2026-04-21 19:56:00 | (https://finance.sina.com.cn/stock/aiassist/yjbg/2026-04-21/doc-inhvhmhw6115666.shtml) </w:t>
      </w:r>
    </w:p>
    <w:p>
      <w:pPr>
        <w:spacing w:line="240" w:lineRule="auto" w:before="120" w:after="120"/>
        <w:ind w:left="0"/>
        <w:jc w:val="left"/>
      </w:pPr>
      <w:r>
        <w:rPr>
          <w:rFonts w:eastAsia="宋体" w:ascii="Times New Roman" w:hAnsi="Times New Roman" w:cs="Times New Roman"/>
          <w:b w:val="false"/>
          <w:i w:val="false"/>
          <w:sz w:val="22"/>
        </w:rPr>
        <w:t xml:space="preserve">[62] 估值分析 &gt; 华力创通(300045) | 2025-07-07 00:00:00 | (http://quote.stockstar.com/Comment/Eval/300045) </w:t>
      </w:r>
    </w:p>
    <w:p>
      <w:pPr>
        <w:spacing w:line="240" w:lineRule="auto" w:before="120" w:after="120"/>
        <w:ind w:left="0"/>
        <w:jc w:val="left"/>
      </w:pPr>
      <w:r>
        <w:rPr>
          <w:rFonts w:eastAsia="宋体" w:ascii="Times New Roman" w:hAnsi="Times New Roman" w:cs="Times New Roman"/>
          <w:b w:val="false"/>
          <w:i w:val="false"/>
          <w:sz w:val="22"/>
        </w:rPr>
        <w:t xml:space="preserve">[63] 华力创通：生产运营稳中有序，市场波动需理性判断_公司_股价_发展 | 2026-04-30 16:54:00 | (https://www.sohu.com/a/1016840088_121956424) </w:t>
      </w:r>
    </w:p>
    <w:p>
      <w:pPr>
        <w:spacing w:line="240" w:lineRule="auto" w:before="120" w:after="120"/>
        <w:ind w:left="0"/>
        <w:jc w:val="left"/>
      </w:pPr>
      <w:r>
        <w:rPr>
          <w:rFonts w:eastAsia="宋体" w:ascii="Times New Roman" w:hAnsi="Times New Roman" w:cs="Times New Roman"/>
          <w:b w:val="false"/>
          <w:i w:val="false"/>
          <w:sz w:val="22"/>
        </w:rPr>
        <w:t xml:space="preserve">[64] 华力创通 | 2025-06-18 00:00:00 | (http://money.finance.sina.com.cn/corp/view/vCB_AllBulletinDetail.php?id=11191135&amp;stockid=300045) </w:t>
      </w:r>
    </w:p>
    <w:p>
      <w:pPr>
        <w:spacing w:line="240" w:lineRule="auto" w:before="120" w:after="120"/>
        <w:ind w:left="0"/>
        <w:jc w:val="left"/>
      </w:pPr>
      <w:r>
        <w:rPr>
          <w:rFonts w:eastAsia="宋体" w:ascii="Times New Roman" w:hAnsi="Times New Roman" w:cs="Times New Roman"/>
          <w:b w:val="false"/>
          <w:i w:val="false"/>
          <w:sz w:val="22"/>
        </w:rPr>
        <w:t xml:space="preserve">[65] 华力创通收盘上涨1.29%，最新市净率7.60，总市值120.08亿元 | 2025-05-07 17:24:24 | (https://caifuhao.eastmoney.com/news/20250507172440816121380) </w:t>
      </w:r>
    </w:p>
    <w:p>
      <w:pPr>
        <w:spacing w:line="240" w:lineRule="auto" w:before="120" w:after="120"/>
        <w:ind w:left="0"/>
        <w:jc w:val="left"/>
      </w:pPr>
      <w:r>
        <w:rPr>
          <w:rFonts w:eastAsia="宋体" w:ascii="Times New Roman" w:hAnsi="Times New Roman" w:cs="Times New Roman"/>
          <w:b w:val="false"/>
          <w:i w:val="false"/>
          <w:sz w:val="22"/>
        </w:rPr>
        <w:t xml:space="preserve">[66] 华力创通近5日主力资金净流入 机构持仓微增但估值处历史高位 - 经济观察网 － 专业财经新闻网站 | 2026-04-20 18:05:00 | (http://www.eeo.com.cn/2026/0420/845532.shtml) </w:t>
      </w:r>
    </w:p>
    <w:p>
      <w:pPr>
        <w:spacing w:line="240" w:lineRule="auto" w:before="120" w:after="120"/>
        <w:ind w:left="0"/>
        <w:jc w:val="left"/>
      </w:pPr>
      <w:r>
        <w:rPr>
          <w:rFonts w:eastAsia="宋体" w:ascii="Times New Roman" w:hAnsi="Times New Roman" w:cs="Times New Roman"/>
          <w:b w:val="false"/>
          <w:i w:val="false"/>
          <w:sz w:val="22"/>
        </w:rPr>
        <w:t xml:space="preserve">[67] 华力创通震荡持平大盘，主力资金净流出，估值处历史高位 - 经济观察网 － 专业财经新闻网站 | 2026-03-21 15:52:00 | (https://www.eeo.com.cn/2026/0321/814248.shtml) </w:t>
      </w:r>
    </w:p>
    <w:p>
      <w:pPr>
        <w:spacing w:line="240" w:lineRule="auto" w:before="120" w:after="120"/>
        <w:ind w:left="0"/>
        <w:jc w:val="left"/>
      </w:pPr>
      <w:r>
        <w:rPr>
          <w:rFonts w:eastAsia="宋体" w:ascii="Times New Roman" w:hAnsi="Times New Roman" w:cs="Times New Roman"/>
          <w:b w:val="false"/>
          <w:i w:val="false"/>
          <w:sz w:val="22"/>
        </w:rPr>
        <w:t xml:space="preserve">[68] 华力创通: 2025年年度报告摘要简述_股票频道_证券之星 | 2026-04-21 21:34:33 | (https://stock.stockstar.com/AN2026042100051796.shtml) </w:t>
      </w:r>
    </w:p>
    <w:p>
      <w:pPr>
        <w:spacing w:line="240" w:lineRule="auto" w:before="120" w:after="120"/>
        <w:ind w:left="0"/>
        <w:jc w:val="left"/>
      </w:pPr>
      <w:r>
        <w:rPr>
          <w:rFonts w:eastAsia="宋体" w:ascii="Times New Roman" w:hAnsi="Times New Roman" w:cs="Times New Roman"/>
          <w:b w:val="false"/>
          <w:i w:val="false"/>
          <w:sz w:val="22"/>
        </w:rPr>
        <w:t xml:space="preserve">[69] 华力创通: 关于2025年计提资产减值准备的公告内容摘要_股票频道_证券之星 | 2026-04-22 07:44:33 | (https://stock.stockstar.com/AN2026042200013973.shtml) </w:t>
      </w:r>
    </w:p>
    <w:p>
      <w:pPr>
        <w:spacing w:line="240" w:lineRule="auto" w:before="120" w:after="120"/>
        <w:ind w:left="0"/>
        <w:jc w:val="left"/>
      </w:pPr>
      <w:r>
        <w:rPr>
          <w:rFonts w:eastAsia="宋体" w:ascii="Times New Roman" w:hAnsi="Times New Roman" w:cs="Times New Roman"/>
          <w:b w:val="false"/>
          <w:i w:val="false"/>
          <w:sz w:val="22"/>
        </w:rPr>
        <w:t xml:space="preserve">[70] 华力创通300045股票最新消息，价值怎么样，行情分析！ | 2025-12-19 08:55:00 | (https://mp.weixin.qq.com/s/SNsDXi1RjnEn2lQO5tme3g) </w:t>
      </w:r>
    </w:p>
    <w:p>
      <w:pPr>
        <w:spacing w:line="240" w:lineRule="auto" w:before="120" w:after="120"/>
        <w:ind w:left="0"/>
        <w:jc w:val="left"/>
      </w:pPr>
      <w:r>
        <w:rPr>
          <w:rFonts w:eastAsia="宋体" w:ascii="Times New Roman" w:hAnsi="Times New Roman" w:cs="Times New Roman"/>
          <w:b w:val="false"/>
          <w:i w:val="false"/>
          <w:sz w:val="22"/>
        </w:rPr>
        <w:t xml:space="preserve">[71] 华力创通：2026年一季度亏损1195.67万元 | 2026-05-01 16:50:32 </w:t>
      </w:r>
    </w:p>
    <w:p>
      <w:pPr>
        <w:spacing w:line="240" w:lineRule="auto" w:before="120" w:after="120"/>
        <w:ind w:left="0"/>
        <w:jc w:val="left"/>
      </w:pPr>
      <w:r>
        <w:rPr>
          <w:rFonts w:eastAsia="宋体" w:ascii="Times New Roman" w:hAnsi="Times New Roman" w:cs="Times New Roman"/>
          <w:b w:val="false"/>
          <w:i w:val="false"/>
          <w:sz w:val="22"/>
        </w:rPr>
        <w:t xml:space="preserve">[72] 华力创通十大流通股东格局生变：蔡毛泉等新进，南方中证1000ETF等退出，王琦等增持，熊运鸿等减持|华夏_新浪财经_新浪网 | 2026-04-27 18:49:00 | (https://finance.sina.com.cn/stock/aiassist/sdltgdbh/2026-04-27/doc-inhvxtqy9099667.shtml) </w:t>
      </w:r>
    </w:p>
    <w:p>
      <w:pPr>
        <w:spacing w:line="240" w:lineRule="auto" w:before="120" w:after="120"/>
        <w:ind w:left="0"/>
        <w:jc w:val="left"/>
      </w:pPr>
      <w:r>
        <w:rPr>
          <w:rFonts w:eastAsia="宋体" w:ascii="Times New Roman" w:hAnsi="Times New Roman" w:cs="Times New Roman"/>
          <w:b w:val="false"/>
          <w:i w:val="false"/>
          <w:sz w:val="22"/>
        </w:rPr>
        <w:t xml:space="preserve">[73] 机构风向标 | 华力创通(300045)2025年四季度已披露前十大机构累计持仓占比4.65% | 2026-04-22 09:07:51 </w:t>
      </w:r>
    </w:p>
    <w:p>
      <w:pPr>
        <w:spacing w:line="240" w:lineRule="auto" w:before="120" w:after="120"/>
        <w:ind w:left="0"/>
        <w:jc w:val="left"/>
      </w:pPr>
      <w:r>
        <w:rPr>
          <w:rFonts w:eastAsia="宋体" w:ascii="Times New Roman" w:hAnsi="Times New Roman" w:cs="Times New Roman"/>
          <w:b w:val="false"/>
          <w:i w:val="false"/>
          <w:sz w:val="22"/>
        </w:rPr>
        <w:t xml:space="preserve">[74] 华力创通股价跌5.04%，富国基金旗下2只基金重仓，合计持有26.72万股浮亏损失29.93万元|华力创通_新浪财经_新浪网 | 2026-04-28 14:29:00 | (https://finance.sina.com.cn/money/fund/aiassistant/zcgyd/2026-04-28/doc-inhvzshf1730395.shtml) </w:t>
      </w:r>
    </w:p>
    <w:p>
      <w:pPr>
        <w:spacing w:line="240" w:lineRule="auto" w:before="120" w:after="120"/>
        <w:ind w:left="0"/>
        <w:jc w:val="left"/>
      </w:pPr>
      <w:r>
        <w:rPr>
          <w:rFonts w:eastAsia="宋体" w:ascii="Times New Roman" w:hAnsi="Times New Roman" w:cs="Times New Roman"/>
          <w:b w:val="false"/>
          <w:i w:val="false"/>
          <w:sz w:val="22"/>
        </w:rPr>
        <w:t xml:space="preserve">[75] 华力创通股价跌5.04%，中欧基金旗下1只基金重仓，持有5.96万股浮亏损失6.68万元|重仓股_网易订阅 | 2026-04-28 14:29:14 | (https://www.163.com/dy/article/KRK0QGCI05568W0A.html) </w:t>
      </w:r>
    </w:p>
    <w:p>
      <w:pPr>
        <w:spacing w:line="240" w:lineRule="auto" w:before="120" w:after="120"/>
        <w:ind w:left="0"/>
        <w:jc w:val="left"/>
      </w:pPr>
      <w:r>
        <w:rPr>
          <w:rFonts w:eastAsia="宋体" w:ascii="Times New Roman" w:hAnsi="Times New Roman" w:cs="Times New Roman"/>
          <w:b w:val="false"/>
          <w:i w:val="false"/>
          <w:sz w:val="22"/>
        </w:rPr>
        <w:t xml:space="preserve">[76] 华力创通股价跌5.04%，华夏基金旗下1只基金位居十大流通股东，持有234.83万股浮亏损失263.01万元_夏国证_通用_仿真 | 2026-04-28 14:28:00 | (https://www.sohu.com/a/1015693453_122014422) </w:t>
      </w:r>
    </w:p>
    <w:p>
      <w:pPr>
        <w:spacing w:line="240" w:lineRule="auto" w:before="120" w:after="120"/>
        <w:ind w:left="0"/>
        <w:jc w:val="left"/>
      </w:pPr>
      <w:r>
        <w:rPr>
          <w:rFonts w:eastAsia="宋体" w:ascii="Times New Roman" w:hAnsi="Times New Roman" w:cs="Times New Roman"/>
          <w:b w:val="false"/>
          <w:i w:val="false"/>
          <w:sz w:val="22"/>
        </w:rPr>
        <w:t xml:space="preserve">[77] 华力创通股价跌5.04%，华宝基金旗下1只基金重仓，持有23.7万股浮亏损失26.54万元_新浪财经_新浪网 | 2026-04-28 14:29:00 | (https://finance.sina.com.cn/money/fund/aiassistant/zcgyd/2026-04-28/doc-inhvzshh8507616.shtml) </w:t>
      </w:r>
    </w:p>
    <w:p>
      <w:pPr>
        <w:spacing w:line="240" w:lineRule="auto" w:before="120" w:after="120"/>
        <w:ind w:left="0"/>
        <w:jc w:val="left"/>
      </w:pPr>
      <w:r>
        <w:rPr>
          <w:rFonts w:eastAsia="宋体" w:ascii="Times New Roman" w:hAnsi="Times New Roman" w:cs="Times New Roman"/>
          <w:b w:val="false"/>
          <w:i w:val="false"/>
          <w:sz w:val="22"/>
        </w:rPr>
        <w:t xml:space="preserve">[78] 华力创通4月24日获融资买入2954.03万元，融资余额9.21亿元|华力创通_新浪财经_新浪网 | 2026-04-27 09:08:00 | (https://finance.sina.com.cn/stock/aiassist/rzrq/2026-04-27/doc-inhvwwmq9289910.shtml) </w:t>
      </w:r>
    </w:p>
    <w:p>
      <w:pPr>
        <w:spacing w:line="240" w:lineRule="auto" w:before="120" w:after="120"/>
        <w:ind w:left="0"/>
        <w:jc w:val="left"/>
      </w:pPr>
      <w:r>
        <w:rPr>
          <w:rFonts w:eastAsia="宋体" w:ascii="Times New Roman" w:hAnsi="Times New Roman" w:cs="Times New Roman"/>
          <w:b w:val="false"/>
          <w:i w:val="false"/>
          <w:sz w:val="22"/>
        </w:rPr>
        <w:t xml:space="preserve">[79] 股市必读：华力创通年报 - 第四季度单季净利润同比增长31.14% | 2026-04-23 01:51:00 | (https://www.sohu.com/a/1013209680_122121789) </w:t>
      </w:r>
    </w:p>
    <w:p>
      <w:pPr>
        <w:spacing w:line="240" w:lineRule="auto" w:before="120" w:after="120"/>
        <w:ind w:left="0"/>
        <w:jc w:val="left"/>
      </w:pPr>
      <w:r>
        <w:rPr>
          <w:rFonts w:eastAsia="宋体" w:ascii="Times New Roman" w:hAnsi="Times New Roman" w:cs="Times New Roman"/>
          <w:b w:val="false"/>
          <w:i w:val="false"/>
          <w:sz w:val="22"/>
        </w:rPr>
        <w:t xml:space="preserve">[80] 华力创通近5日空头行情，主力资金持续净流出，弱于大盘及行业 - 经济观察网 － 专业财经新闻网站 | 2026-04-29 12:28:00 | (http://www.eeo.com.cn/2026/0429/857090.shtml) </w:t>
      </w:r>
    </w:p>
    <w:p>
      <w:pPr>
        <w:spacing w:line="240" w:lineRule="auto" w:before="120" w:after="120"/>
        <w:ind w:left="0"/>
        <w:jc w:val="left"/>
      </w:pPr>
      <w:r>
        <w:rPr>
          <w:rFonts w:eastAsia="宋体" w:ascii="Times New Roman" w:hAnsi="Times New Roman" w:cs="Times New Roman"/>
          <w:b w:val="false"/>
          <w:i w:val="false"/>
          <w:sz w:val="22"/>
        </w:rPr>
        <w:t xml:space="preserve">[81] 华力创通股东户数创新高，散户资金逆流而入背后的市场信号分析_变化 | 2026-04-27 01:20:00 | (https://www.sohu.com/a/1014945340_122066678) </w:t>
      </w:r>
    </w:p>
    <w:p>
      <w:pPr>
        <w:spacing w:line="240" w:lineRule="auto" w:before="120" w:after="120"/>
        <w:ind w:left="0"/>
        <w:jc w:val="left"/>
      </w:pPr>
      <w:r>
        <w:rPr>
          <w:rFonts w:eastAsia="宋体" w:ascii="Times New Roman" w:hAnsi="Times New Roman" w:cs="Times New Roman"/>
          <w:b w:val="false"/>
          <w:i w:val="false"/>
          <w:sz w:val="22"/>
        </w:rPr>
        <w:t xml:space="preserve">[82] 华力创通融资动态分析：市场情绪与投资机会的双刃剑_变化_买入_净卖出 | 2025-06-17 11:54:00 | (https://www.sohu.com/a/905111046_122066678) </w:t>
      </w:r>
    </w:p>
    <w:p>
      <w:pPr>
        <w:spacing w:line="240" w:lineRule="auto" w:before="120" w:after="120"/>
        <w:ind w:left="0"/>
        <w:jc w:val="left"/>
      </w:pPr>
      <w:r>
        <w:rPr>
          <w:rFonts w:eastAsia="宋体" w:ascii="Times New Roman" w:hAnsi="Times New Roman" w:cs="Times New Roman"/>
          <w:b w:val="false"/>
          <w:i w:val="false"/>
          <w:sz w:val="22"/>
        </w:rPr>
        <w:t xml:space="preserve">[83] 华力创通融资动态分析：市场情绪与投资者策略的深度解读_变化_数据_态度 | 2025-06-24 12:12:00 | (https://www.sohu.com/a/907307066_122066678) </w:t>
      </w:r>
    </w:p>
    <w:p>
      <w:pPr>
        <w:spacing w:line="240" w:lineRule="auto" w:before="120" w:after="120"/>
        <w:ind w:left="0"/>
        <w:jc w:val="left"/>
      </w:pPr>
      <w:r>
        <w:rPr>
          <w:rFonts w:eastAsia="宋体" w:ascii="Times New Roman" w:hAnsi="Times New Roman" w:cs="Times New Roman"/>
          <w:b w:val="false"/>
          <w:i w:val="false"/>
          <w:sz w:val="22"/>
        </w:rPr>
        <w:t xml:space="preserve">[84] 华力创通融资融券动态：投资者应如何解读市场信号？_情绪_净卖出_证券公司 | 2026-03-04 11:51:00 | (https://www.sohu.com/a/992369288_122066678) </w:t>
      </w:r>
    </w:p>
    <w:p>
      <w:pPr>
        <w:spacing w:line="240" w:lineRule="auto" w:before="120" w:after="120"/>
        <w:ind w:left="0"/>
        <w:jc w:val="left"/>
      </w:pPr>
      <w:r>
        <w:rPr>
          <w:rFonts w:eastAsia="宋体" w:ascii="Times New Roman" w:hAnsi="Times New Roman" w:cs="Times New Roman"/>
          <w:b w:val="false"/>
          <w:i w:val="false"/>
          <w:sz w:val="22"/>
        </w:rPr>
        <w:t xml:space="preserve">[85] 华力创通：预计2025年亏损4800万元-6000万元 | 2026-01-29 20:44:44 | (https://newzzbcx.cs.com.cn/cxnews.html?name=new20260129204444iwdpoyga) </w:t>
      </w:r>
    </w:p>
    <w:sectPr>
      <w:footerReference w:type="default" r:id="rId3"/>
    </w:sectPr>
  </w:body>
</w:document>
</file>

<file path=word/footer1.xml><?xml version="1.0" encoding="utf-8"?>
<w:ftr xmlns:w="http://schemas.openxmlformats.org/wordprocessingml/2006/main">
  <w:p>
    <w:pPr>
      <w:jc w:val="center"/>
    </w:pPr>
  </w:p>
  <w:p>
    <w:pPr>
      <w:pBdr>
        <w:bottom w:val="thick"/>
      </w:pBdr>
      <w:spacing w:after="200"/>
    </w:pPr>
  </w:p>
  <w:p>
    <w:pPr>
      <w:jc w:val="center"/>
    </w:pPr>
    <w:r>
      <w:t>文件由【AI研究员】模块自动生成，更详细的信息请登录Choice金融终端</w:t>
    </w:r>
  </w:p>
  <w:p>
    <w:pPr>
      <w:jc w:val="center"/>
    </w:pPr>
    <w:r>
      <w:t>第</w:t>
    </w:r>
    <w:r>
      <w:fldChar w:fldCharType="begin"/>
    </w:r>
    <w:r>
      <w:instrText> PAGE \* MERGEFORMAT </w:instrText>
    </w:r>
    <w:r>
      <w:fldChar w:fldCharType="separate"/>
    </w:r>
    <w:r>
      <w:t>1</w:t>
    </w:r>
    <w:r>
      <w:fldChar w:fldCharType="end"/>
    </w:r>
    <w:r>
      <w:t>页</w:t>
    </w:r>
  </w:p>
</w:ftr>
</file>

<file path=word/numbering.xml><?xml version="1.0" encoding="utf-8"?>
<w:numbering xmlns:w="http://schemas.openxmlformats.org/wordprocessingml/2006/main">
  <w:abstractNum w:abstractNumId="0">
    <w:lvl w:ilvl="0">
      <w:start w:val="1"/>
      <w:numFmt w:val="bullet"/>
      <w:lvlText w:val="•"/>
      <w:lvlJc w:val="left"/>
    </w:lvl>
    <w:lvl w:ilvl="1">
      <w:start w:val="1"/>
      <w:numFmt w:val="bullet"/>
      <w:lvlText w:val="◦"/>
      <w:lvlJc w:val="left"/>
      <w:pPr>
        <w:ind w:left="720"/>
      </w:pPr>
    </w:lvl>
    <w:lvl w:ilvl="2">
      <w:start w:val="2"/>
      <w:numFmt w:val="bullet"/>
      <w:lvlText w:val="▪"/>
      <w:lvlJc w:val="left"/>
      <w:pPr>
        <w:ind w:left="1440"/>
      </w:pPr>
    </w:lvl>
  </w:abstractNum>
  <w:num w:numId="1">
    <w:abstractNumId w:val="0"/>
  </w:num>
</w:numbering>
</file>

<file path=word/settings.xml><?xml version="1.0" encoding="utf-8"?>
<w:settings xmlns:w="http://schemas.openxmlformats.org/wordprocessingml/2006/main"/>
</file>

<file path=word/styles.xml><?xml version="1.0" encoding="utf-8"?>
<w:styles xmlns:w="http://schemas.openxmlformats.org/wordprocessingml/2006/main">
  <w:style w:styleId="EM_H1_STYLE" w:type="paragraph">
    <w:name w:val="EM-标题1"/>
    <w:pPr>
      <w:outlineLvl w:val="0"/>
    </w:pPr>
    <w:rPr>
      <w:rFonts w:hAnsi="宋体" w:ascii="宋体"/>
      <w:b w:val="true"/>
      <w:sz w:val="18"/>
      <w:szCs w:val="18"/>
    </w:rPr>
  </w:style>
  <w:style w:styleId="EM_H2_STYLE" w:type="paragraph">
    <w:name w:val="EM-标题2"/>
    <w:pPr>
      <w:outlineLvl w:val="1"/>
    </w:pPr>
    <w:rPr>
      <w:rFonts w:hAnsi="宋体" w:ascii="宋体"/>
      <w:b w:val="true"/>
      <w:sz w:val="14"/>
      <w:szCs w:val="14"/>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footer1.xml" Type="http://schemas.openxmlformats.org/officeDocument/2006/relationships/footer"/><Relationship Id="rId4"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2026-05-02T13:13:47Z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Label":"1","ContentProducer":"001191310000771458474500000","ProduceID":"N2Q0ZDk2MzctNDAzNi00NDI4LWE2MzMtNmExZDM2MWRjN2Fk","ReservedCode1":"{\"SecurityData\":{\"Type\":\"TC260PG\",\"Version\":1,\"Bindings\":[{\"Type\":\"Hash\",\"ID\":\"1\",\"AlgId\":\"1.2.156.10197.1.401\",\"Value\":\"a471fc6b323a3cec3f1537feffcf2c4143f122f62638de50279f6e3e6a1c5115\"}],\"PubSD\":[{\"Type\":\"DS\",\"AlgID\":\"1.2.156.10197.1.501\",\"TBSData\":[{\"Type\":\"Binding\",\"ID\":\"1\"},{\"Type\":\"LabelMetadata\"}],\"Signature\":\"3045022100c0fa2bb32ab80fa177e84f1cd20eb8a8432558efae7990eb55fa8fd0063cc6ff022052a6368225de9f99e8dcabe3b63b47fc70f16cef04324ea9de0d17844dbf16bf\"},{\"Type\":\"PubKey\",\"AlgID\":\"1.2.156.10197.1.501\",\"KeyValue\":\" 04e238309e60cc2884cef29d4dbe30958133b03d21586c6e7d6c01291a78477a8c27e16f8500444db9a3035f8241cd36841a22ffc44216d03ef06c31b75e826c35\"}]}}","ContentPropagator":"001191310000771458474500000","PropagateID":"N2Q0ZDk2MzctNDAzNi00NDI4LWE2MzMtNmExZDM2MWRjN2Fk","ReservedCode2":"{\"SecurityData\":{\"Type\":\"TC260PG\",\"Version\":1,\"Bindings\":[{\"Type\":\"Hash\",\"ID\":\"1\",\"AlgId\":\"1.2.156.10197.1.401\",\"Value\":\"a471fc6b323a3cec3f1537feffcf2c4143f122f62638de50279f6e3e6a1c5115\"}],\"PubSD\":[{\"Type\":\"DS\",\"AlgID\":\"1.2.156.10197.1.501\",\"TBSData\":[{\"Type\":\"Binding\",\"ID\":\"1\"},{\"Type\":\"LabelMetadata\"}],\"Signature\":\"3045022100c0fa2bb32ab80fa177e84f1cd20eb8a8432558efae7990eb55fa8fd0063cc6ff022052a6368225de9f99e8dcabe3b63b47fc70f16cef04324ea9de0d17844dbf16bf\"},{\"Type\":\"PubKey\",\"AlgID\":\"1.2.156.10197.1.501\",\"KeyValue\":\" 04e238309e60cc2884cef29d4dbe30958133b03d21586c6e7d6c01291a78477a8c27e16f8500444db9a3035f8241cd36841a22ffc44216d03ef06c31b75e826c35\"}]}}"}</vt:lpwstr>
  </property>
</Properties>
</file>