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360" w:lineRule="auto"/>
      </w:pPr>
      <w:r>
        <w:rPr>
          <w:rFonts w:ascii="黑体" w:hAnsi="黑体" w:eastAsia="黑体"/>
          <w:b/>
          <w:sz w:val="36"/>
        </w:rPr>
        <w:t>中国海油 穿透财报分析报告</w:t>
      </w:r>
    </w:p>
    <w:p>
      <w:pPr>
        <w:spacing w:line="360" w:lineRule="auto" w:after="120"/>
        <w:ind w:firstLine="480"/>
      </w:pPr>
      <w:r>
        <w:rPr>
          <w:rFonts w:ascii="宋体" w:hAnsi="宋体" w:eastAsia="宋体"/>
          <w:b w:val="0"/>
          <w:sz w:val="24"/>
        </w:rPr>
        <w:t>**副标题**：叙事先行 · 三张表完整科目深度验证 · 行业背景联动分析</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项目</w:t>
            </w:r>
          </w:p>
        </w:tc>
        <w:tc>
          <w:tcPr>
            <w:tcW w:type="dxa" w:w="2160"/>
          </w:tcPr>
          <w:p>
            <w:pPr>
              <w:jc w:val="center"/>
            </w:pPr>
            <w:r>
              <w:rPr>
                <w:rFonts w:ascii="黑体" w:hAnsi="黑体" w:eastAsia="黑体"/>
                <w:b/>
                <w:sz w:val="20"/>
              </w:rPr>
              <w:t>内容</w:t>
            </w:r>
          </w:p>
        </w:tc>
        <w:tc>
          <w:tcPr>
            <w:tcW w:type="dxa" w:w="2160"/>
          </w:tcPr>
          <w:p>
            <w:pPr>
              <w:jc w:val="center"/>
            </w:pPr>
            <w:r>
              <w:rPr>
                <w:rFonts w:ascii="黑体" w:hAnsi="黑体" w:eastAsia="黑体"/>
                <w:b/>
                <w:sz w:val="20"/>
              </w:rPr>
              <w:t>项目</w:t>
            </w:r>
          </w:p>
        </w:tc>
        <w:tc>
          <w:tcPr>
            <w:tcW w:type="dxa" w:w="2160"/>
          </w:tcPr>
          <w:p>
            <w:pPr>
              <w:jc w:val="center"/>
            </w:pPr>
            <w:r>
              <w:rPr>
                <w:rFonts w:ascii="黑体" w:hAnsi="黑体" w:eastAsia="黑体"/>
                <w:b/>
                <w:sz w:val="20"/>
              </w:rPr>
              <w:t>内容</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公司简称</w:t>
            </w:r>
          </w:p>
        </w:tc>
        <w:tc>
          <w:tcPr>
            <w:tcW w:type="dxa" w:w="2160"/>
          </w:tcPr>
          <w:p>
            <w:pPr>
              <w:jc w:val="center"/>
            </w:pPr>
            <w:r>
              <w:rPr>
                <w:rFonts w:ascii="黑体" w:hAnsi="黑体" w:eastAsia="黑体"/>
                <w:b/>
                <w:sz w:val="20"/>
              </w:rPr>
              <w:t>中国海油</w:t>
            </w:r>
          </w:p>
        </w:tc>
        <w:tc>
          <w:tcPr>
            <w:tcW w:type="dxa" w:w="2160"/>
          </w:tcPr>
          <w:p>
            <w:pPr>
              <w:jc w:val="center"/>
            </w:pPr>
            <w:r>
              <w:rPr>
                <w:rFonts w:ascii="黑体" w:hAnsi="黑体" w:eastAsia="黑体"/>
                <w:b/>
                <w:sz w:val="20"/>
              </w:rPr>
              <w:t>股票代码</w:t>
            </w:r>
          </w:p>
        </w:tc>
        <w:tc>
          <w:tcPr>
            <w:tcW w:type="dxa" w:w="2160"/>
          </w:tcPr>
          <w:p>
            <w:pPr>
              <w:jc w:val="center"/>
            </w:pPr>
            <w:r>
              <w:rPr>
                <w:rFonts w:ascii="黑体" w:hAnsi="黑体" w:eastAsia="黑体"/>
                <w:b/>
                <w:sz w:val="20"/>
              </w:rPr>
              <w:t>600938.SH / 00883.HK</w:t>
            </w:r>
          </w:p>
        </w:tc>
      </w:tr>
      <w:tr>
        <w:tc>
          <w:tcPr>
            <w:tcW w:type="dxa" w:w="2160"/>
          </w:tcPr>
          <w:p>
            <w:pPr>
              <w:jc w:val="right"/>
            </w:pPr>
            <w:r>
              <w:rPr>
                <w:rFonts w:ascii="宋体" w:hAnsi="宋体" w:eastAsia="宋体"/>
                <w:b w:val="0"/>
                <w:sz w:val="18"/>
              </w:rPr>
              <w:t>当前股价</w:t>
            </w:r>
          </w:p>
        </w:tc>
        <w:tc>
          <w:tcPr>
            <w:tcW w:type="dxa" w:w="2160"/>
          </w:tcPr>
          <w:p>
            <w:pPr>
              <w:jc w:val="right"/>
            </w:pPr>
            <w:r>
              <w:rPr>
                <w:rFonts w:ascii="宋体" w:hAnsi="宋体" w:eastAsia="宋体"/>
                <w:b w:val="0"/>
                <w:sz w:val="18"/>
              </w:rPr>
              <w:t>¥28.09</w:t>
            </w:r>
          </w:p>
        </w:tc>
        <w:tc>
          <w:tcPr>
            <w:tcW w:type="dxa" w:w="2160"/>
          </w:tcPr>
          <w:p>
            <w:pPr>
              <w:jc w:val="right"/>
            </w:pPr>
            <w:r>
              <w:rPr>
                <w:rFonts w:ascii="宋体" w:hAnsi="宋体" w:eastAsia="宋体"/>
                <w:b w:val="0"/>
                <w:sz w:val="18"/>
              </w:rPr>
              <w:t>总股本</w:t>
            </w:r>
          </w:p>
        </w:tc>
        <w:tc>
          <w:tcPr>
            <w:tcW w:type="dxa" w:w="2160"/>
          </w:tcPr>
          <w:p>
            <w:pPr>
              <w:jc w:val="right"/>
            </w:pPr>
            <w:r>
              <w:rPr>
                <w:rFonts w:ascii="宋体" w:hAnsi="宋体" w:eastAsia="宋体"/>
                <w:b w:val="0"/>
                <w:sz w:val="18"/>
              </w:rPr>
              <w:t>475.3亿股</w:t>
            </w:r>
          </w:p>
        </w:tc>
      </w:tr>
      <w:tr>
        <w:tc>
          <w:tcPr>
            <w:tcW w:type="dxa" w:w="2160"/>
          </w:tcPr>
          <w:p>
            <w:pPr>
              <w:jc w:val="right"/>
            </w:pPr>
            <w:r>
              <w:rPr>
                <w:rFonts w:ascii="宋体" w:hAnsi="宋体" w:eastAsia="宋体"/>
                <w:b w:val="0"/>
                <w:sz w:val="18"/>
              </w:rPr>
              <w:t>当前市值（A股）</w:t>
            </w:r>
          </w:p>
        </w:tc>
        <w:tc>
          <w:tcPr>
            <w:tcW w:type="dxa" w:w="2160"/>
          </w:tcPr>
          <w:p>
            <w:pPr>
              <w:jc w:val="right"/>
            </w:pPr>
            <w:r>
              <w:rPr>
                <w:rFonts w:ascii="宋体" w:hAnsi="宋体" w:eastAsia="宋体"/>
                <w:b w:val="0"/>
                <w:sz w:val="18"/>
              </w:rPr>
              <w:t>¥13351亿</w:t>
            </w:r>
          </w:p>
        </w:tc>
        <w:tc>
          <w:tcPr>
            <w:tcW w:type="dxa" w:w="2160"/>
          </w:tcPr>
          <w:p>
            <w:pPr>
              <w:jc w:val="right"/>
            </w:pPr>
            <w:r>
              <w:rPr>
                <w:rFonts w:ascii="宋体" w:hAnsi="宋体" w:eastAsia="宋体"/>
                <w:b w:val="0"/>
                <w:sz w:val="18"/>
              </w:rPr>
              <w:t>2025年营收</w:t>
            </w:r>
          </w:p>
        </w:tc>
        <w:tc>
          <w:tcPr>
            <w:tcW w:type="dxa" w:w="2160"/>
          </w:tcPr>
          <w:p>
            <w:pPr>
              <w:jc w:val="right"/>
            </w:pPr>
            <w:r>
              <w:rPr>
                <w:rFonts w:ascii="宋体" w:hAnsi="宋体" w:eastAsia="宋体"/>
                <w:b w:val="0"/>
                <w:sz w:val="18"/>
              </w:rPr>
              <w:t>¥3982亿</w:t>
            </w:r>
          </w:p>
        </w:tc>
      </w:tr>
      <w:tr>
        <w:tc>
          <w:tcPr>
            <w:tcW w:type="dxa" w:w="2160"/>
          </w:tcPr>
          <w:p>
            <w:pPr>
              <w:jc w:val="right"/>
            </w:pPr>
            <w:r>
              <w:rPr>
                <w:rFonts w:ascii="宋体" w:hAnsi="宋体" w:eastAsia="宋体"/>
                <w:b w:val="0"/>
                <w:sz w:val="18"/>
              </w:rPr>
              <w:t>2025年归母净利润</w:t>
            </w:r>
          </w:p>
        </w:tc>
        <w:tc>
          <w:tcPr>
            <w:tcW w:type="dxa" w:w="2160"/>
          </w:tcPr>
          <w:p>
            <w:pPr>
              <w:jc w:val="right"/>
            </w:pPr>
            <w:r>
              <w:rPr>
                <w:rFonts w:ascii="宋体" w:hAnsi="宋体" w:eastAsia="宋体"/>
                <w:b w:val="0"/>
                <w:sz w:val="18"/>
              </w:rPr>
              <w:t>¥1221.0亿</w:t>
            </w:r>
          </w:p>
        </w:tc>
        <w:tc>
          <w:tcPr>
            <w:tcW w:type="dxa" w:w="2160"/>
          </w:tcPr>
          <w:p>
            <w:pPr>
              <w:jc w:val="right"/>
            </w:pPr>
            <w:r>
              <w:rPr>
                <w:rFonts w:ascii="宋体" w:hAnsi="宋体" w:eastAsia="宋体"/>
                <w:b w:val="0"/>
                <w:sz w:val="18"/>
              </w:rPr>
              <w:t>核心市占率</w:t>
            </w:r>
          </w:p>
        </w:tc>
        <w:tc>
          <w:tcPr>
            <w:tcW w:type="dxa" w:w="2160"/>
          </w:tcPr>
          <w:p>
            <w:pPr>
              <w:jc w:val="right"/>
            </w:pPr>
            <w:r>
              <w:rPr>
                <w:rFonts w:ascii="宋体" w:hAnsi="宋体" w:eastAsia="宋体"/>
                <w:b w:val="0"/>
                <w:sz w:val="18"/>
              </w:rPr>
              <w:t>中国海域油气主导/全球上游成本领先</w:t>
            </w:r>
          </w:p>
        </w:tc>
      </w:tr>
    </w:tbl>
    <w:p/>
    <w:p>
      <w:pPr>
        <w:spacing w:line="360" w:lineRule="auto" w:after="120"/>
        <w:ind w:firstLine="480"/>
      </w:pPr>
      <w:r>
        <w:rPr>
          <w:rFonts w:ascii="宋体" w:hAnsi="宋体" w:eastAsia="宋体"/>
          <w:b w:val="0"/>
          <w:sz w:val="24"/>
        </w:rPr>
        <w:t>【免责声明】本报告基于公开信息分析推演，不构成投资建议。</w:t>
      </w:r>
    </w:p>
    <w:p>
      <w:pPr>
        <w:pStyle w:val="Heading1"/>
        <w:spacing w:before="240" w:after="120" w:line="360" w:lineRule="auto"/>
      </w:pPr>
      <w:r>
        <w:rPr>
          <w:rFonts w:ascii="黑体" w:hAnsi="黑体" w:eastAsia="黑体"/>
          <w:b/>
          <w:sz w:val="36"/>
        </w:rPr>
        <w:t>第一部分　叙事先行——反算股价隐含预期</w:t>
      </w:r>
    </w:p>
    <w:p>
      <w:pPr>
        <w:pStyle w:val="Heading2"/>
        <w:spacing w:before="240" w:after="120" w:line="360" w:lineRule="auto"/>
      </w:pPr>
      <w:r>
        <w:rPr>
          <w:rFonts w:ascii="黑体" w:hAnsi="黑体" w:eastAsia="黑体"/>
          <w:b/>
          <w:sz w:val="28"/>
        </w:rPr>
        <w:t>1.1 公司概况与行业背景</w:t>
      </w:r>
    </w:p>
    <w:p>
      <w:pPr>
        <w:spacing w:line="360" w:lineRule="auto" w:after="120"/>
        <w:ind w:firstLine="480"/>
      </w:pPr>
      <w:r>
        <w:rPr>
          <w:rFonts w:ascii="宋体" w:hAnsi="宋体" w:eastAsia="宋体"/>
          <w:b w:val="0"/>
          <w:sz w:val="24"/>
        </w:rPr>
        <w:t>**公司概况**：中国海洋石油有限公司（CNOOC Limited）成立于1999年，2001年先后在纽约、香港挂牌上市，2022年回归A股（600938.SH），是中国最大的海上原油及天然气生产商，也是全球最大的独立油气勘探生产企业之一。公司主营业务涵盖原油和天然气的勘探、开发、生产及销售，业务布局覆盖中国海域（渤海、南海西部、南海东部、东海）以及海外多个产区（圭亚那、巴西、尼日利亚、伊拉克等）。截至2025年末，公司油气净证实储量约77.73亿桶油当量，全年油气净产量达7.77亿桶油当量，稳居中国海域油气开发龙头地位。</w:t>
      </w:r>
    </w:p>
    <w:p>
      <w:pPr>
        <w:spacing w:line="360" w:lineRule="auto" w:after="120"/>
        <w:ind w:firstLine="480"/>
      </w:pPr>
      <w:r>
        <w:rPr>
          <w:rFonts w:ascii="宋体" w:hAnsi="宋体" w:eastAsia="宋体"/>
          <w:b w:val="0"/>
          <w:sz w:val="24"/>
        </w:rPr>
        <w:t>**行业背景**：2025-2026年国际油价经历剧烈波动。2025年布伦特原油均价约75美元/桶，较2024年有所回落；2026年一季度受中东地缘政治冲突影响，布伦特油价一度攀升至78美元/桶以上，中国海油实现油价75.92美元/桶，同比+4.5%。全球油气上游行业处于高资本开支、低发现率、成本分化的周期位置：2025年全球上游资本开支约5,500亿美元，但新增储量替代率持续下降；OPEC+维持减产框架，非OPEC（美国、巴西、圭亚那）增量成为边际供给。中国海油凭借桶油主要成本27.9美元/桶（2025年）、桶油作业费用6.66美元/桶（2026Q1）的成本优势，在全球成本曲线中处于前1/3分位。国内政策层面，增储上产保障国家能源安全，公司2026年规划产量7.8-8.0亿桶油当量，资本开支预算1,120-1,220亿元。下游需求方面，中国原油进口依存度仍超70%，天然气需求受能源转型和煤改气推动保持中速增长。</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项目</w:t>
            </w:r>
          </w:p>
        </w:tc>
        <w:tc>
          <w:tcPr>
            <w:tcW w:type="dxa" w:w="2160"/>
          </w:tcPr>
          <w:p>
            <w:pPr>
              <w:jc w:val="center"/>
            </w:pPr>
            <w:r>
              <w:rPr>
                <w:rFonts w:ascii="黑体" w:hAnsi="黑体" w:eastAsia="黑体"/>
                <w:b/>
                <w:sz w:val="20"/>
              </w:rPr>
              <w:t>内容</w:t>
            </w:r>
          </w:p>
        </w:tc>
        <w:tc>
          <w:tcPr>
            <w:tcW w:type="dxa" w:w="2160"/>
          </w:tcPr>
          <w:p>
            <w:pPr>
              <w:jc w:val="center"/>
            </w:pPr>
            <w:r>
              <w:rPr>
                <w:rFonts w:ascii="黑体" w:hAnsi="黑体" w:eastAsia="黑体"/>
                <w:b/>
                <w:sz w:val="20"/>
              </w:rPr>
              <w:t>项目</w:t>
            </w:r>
          </w:p>
        </w:tc>
        <w:tc>
          <w:tcPr>
            <w:tcW w:type="dxa" w:w="2160"/>
          </w:tcPr>
          <w:p>
            <w:pPr>
              <w:jc w:val="center"/>
            </w:pPr>
            <w:r>
              <w:rPr>
                <w:rFonts w:ascii="黑体" w:hAnsi="黑体" w:eastAsia="黑体"/>
                <w:b/>
                <w:sz w:val="20"/>
              </w:rPr>
              <w:t>内容</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公司简称</w:t>
            </w:r>
          </w:p>
        </w:tc>
        <w:tc>
          <w:tcPr>
            <w:tcW w:type="dxa" w:w="2160"/>
          </w:tcPr>
          <w:p>
            <w:pPr>
              <w:jc w:val="center"/>
            </w:pPr>
            <w:r>
              <w:rPr>
                <w:rFonts w:ascii="黑体" w:hAnsi="黑体" w:eastAsia="黑体"/>
                <w:b/>
                <w:sz w:val="20"/>
              </w:rPr>
              <w:t>中国海油</w:t>
            </w:r>
          </w:p>
        </w:tc>
        <w:tc>
          <w:tcPr>
            <w:tcW w:type="dxa" w:w="2160"/>
          </w:tcPr>
          <w:p>
            <w:pPr>
              <w:jc w:val="center"/>
            </w:pPr>
            <w:r>
              <w:rPr>
                <w:rFonts w:ascii="黑体" w:hAnsi="黑体" w:eastAsia="黑体"/>
                <w:b/>
                <w:sz w:val="20"/>
              </w:rPr>
              <w:t>股票代码</w:t>
            </w:r>
          </w:p>
        </w:tc>
        <w:tc>
          <w:tcPr>
            <w:tcW w:type="dxa" w:w="2160"/>
          </w:tcPr>
          <w:p>
            <w:pPr>
              <w:jc w:val="center"/>
            </w:pPr>
            <w:r>
              <w:rPr>
                <w:rFonts w:ascii="黑体" w:hAnsi="黑体" w:eastAsia="黑体"/>
                <w:b/>
                <w:sz w:val="20"/>
              </w:rPr>
              <w:t>600938.SH / 00883.HK</w:t>
            </w:r>
          </w:p>
        </w:tc>
      </w:tr>
      <w:tr>
        <w:tc>
          <w:tcPr>
            <w:tcW w:type="dxa" w:w="2160"/>
          </w:tcPr>
          <w:p>
            <w:pPr>
              <w:jc w:val="right"/>
            </w:pPr>
            <w:r>
              <w:rPr>
                <w:rFonts w:ascii="宋体" w:hAnsi="宋体" w:eastAsia="宋体"/>
                <w:b w:val="0"/>
                <w:sz w:val="18"/>
              </w:rPr>
              <w:t>当前股价</w:t>
            </w:r>
          </w:p>
        </w:tc>
        <w:tc>
          <w:tcPr>
            <w:tcW w:type="dxa" w:w="2160"/>
          </w:tcPr>
          <w:p>
            <w:pPr>
              <w:jc w:val="right"/>
            </w:pPr>
            <w:r>
              <w:rPr>
                <w:rFonts w:ascii="宋体" w:hAnsi="宋体" w:eastAsia="宋体"/>
                <w:b w:val="0"/>
                <w:sz w:val="18"/>
              </w:rPr>
              <w:t>¥28.09</w:t>
            </w:r>
          </w:p>
        </w:tc>
        <w:tc>
          <w:tcPr>
            <w:tcW w:type="dxa" w:w="2160"/>
          </w:tcPr>
          <w:p>
            <w:pPr>
              <w:jc w:val="right"/>
            </w:pPr>
            <w:r>
              <w:rPr>
                <w:rFonts w:ascii="宋体" w:hAnsi="宋体" w:eastAsia="宋体"/>
                <w:b w:val="0"/>
                <w:sz w:val="18"/>
              </w:rPr>
              <w:t>总股本</w:t>
            </w:r>
          </w:p>
        </w:tc>
        <w:tc>
          <w:tcPr>
            <w:tcW w:type="dxa" w:w="2160"/>
          </w:tcPr>
          <w:p>
            <w:pPr>
              <w:jc w:val="right"/>
            </w:pPr>
            <w:r>
              <w:rPr>
                <w:rFonts w:ascii="宋体" w:hAnsi="宋体" w:eastAsia="宋体"/>
                <w:b w:val="0"/>
                <w:sz w:val="18"/>
              </w:rPr>
              <w:t>475.3亿股</w:t>
            </w:r>
          </w:p>
        </w:tc>
      </w:tr>
      <w:tr>
        <w:tc>
          <w:tcPr>
            <w:tcW w:type="dxa" w:w="2160"/>
          </w:tcPr>
          <w:p>
            <w:pPr>
              <w:jc w:val="right"/>
            </w:pPr>
            <w:r>
              <w:rPr>
                <w:rFonts w:ascii="宋体" w:hAnsi="宋体" w:eastAsia="宋体"/>
                <w:b w:val="0"/>
                <w:sz w:val="18"/>
              </w:rPr>
              <w:t>当前市值（A股）</w:t>
            </w:r>
          </w:p>
        </w:tc>
        <w:tc>
          <w:tcPr>
            <w:tcW w:type="dxa" w:w="2160"/>
          </w:tcPr>
          <w:p>
            <w:pPr>
              <w:jc w:val="right"/>
            </w:pPr>
            <w:r>
              <w:rPr>
                <w:rFonts w:ascii="宋体" w:hAnsi="宋体" w:eastAsia="宋体"/>
                <w:b w:val="0"/>
                <w:sz w:val="18"/>
              </w:rPr>
              <w:t>¥13351亿</w:t>
            </w:r>
          </w:p>
        </w:tc>
        <w:tc>
          <w:tcPr>
            <w:tcW w:type="dxa" w:w="2160"/>
          </w:tcPr>
          <w:p>
            <w:pPr>
              <w:jc w:val="right"/>
            </w:pPr>
            <w:r>
              <w:rPr>
                <w:rFonts w:ascii="宋体" w:hAnsi="宋体" w:eastAsia="宋体"/>
                <w:b w:val="0"/>
                <w:sz w:val="18"/>
              </w:rPr>
              <w:t>2025年营收</w:t>
            </w:r>
          </w:p>
        </w:tc>
        <w:tc>
          <w:tcPr>
            <w:tcW w:type="dxa" w:w="2160"/>
          </w:tcPr>
          <w:p>
            <w:pPr>
              <w:jc w:val="right"/>
            </w:pPr>
            <w:r>
              <w:rPr>
                <w:rFonts w:ascii="宋体" w:hAnsi="宋体" w:eastAsia="宋体"/>
                <w:b w:val="0"/>
                <w:sz w:val="18"/>
              </w:rPr>
              <w:t>¥3982亿（同比-5.3%）</w:t>
            </w:r>
          </w:p>
        </w:tc>
      </w:tr>
      <w:tr>
        <w:tc>
          <w:tcPr>
            <w:tcW w:type="dxa" w:w="2160"/>
          </w:tcPr>
          <w:p>
            <w:pPr>
              <w:jc w:val="right"/>
            </w:pPr>
            <w:r>
              <w:rPr>
                <w:rFonts w:ascii="宋体" w:hAnsi="宋体" w:eastAsia="宋体"/>
                <w:b w:val="0"/>
                <w:sz w:val="18"/>
              </w:rPr>
              <w:t>核心市占率</w:t>
            </w:r>
          </w:p>
        </w:tc>
        <w:tc>
          <w:tcPr>
            <w:tcW w:type="dxa" w:w="2160"/>
          </w:tcPr>
          <w:p>
            <w:pPr>
              <w:jc w:val="right"/>
            </w:pPr>
            <w:r>
              <w:rPr>
                <w:rFonts w:ascii="宋体" w:hAnsi="宋体" w:eastAsia="宋体"/>
                <w:b w:val="0"/>
                <w:sz w:val="18"/>
              </w:rPr>
              <w:t>中国海域原油生产约65%</w:t>
            </w:r>
          </w:p>
        </w:tc>
        <w:tc>
          <w:tcPr>
            <w:tcW w:type="dxa" w:w="2160"/>
          </w:tcPr>
          <w:p>
            <w:pPr>
              <w:jc w:val="right"/>
            </w:pPr>
            <w:r>
              <w:rPr>
                <w:rFonts w:ascii="宋体" w:hAnsi="宋体" w:eastAsia="宋体"/>
                <w:b w:val="0"/>
                <w:sz w:val="18"/>
              </w:rPr>
              <w:t>2025年归母净利润</w:t>
            </w:r>
          </w:p>
        </w:tc>
        <w:tc>
          <w:tcPr>
            <w:tcW w:type="dxa" w:w="2160"/>
          </w:tcPr>
          <w:p>
            <w:pPr>
              <w:jc w:val="right"/>
            </w:pPr>
            <w:r>
              <w:rPr>
                <w:rFonts w:ascii="宋体" w:hAnsi="宋体" w:eastAsia="宋体"/>
                <w:b w:val="0"/>
                <w:sz w:val="18"/>
              </w:rPr>
              <w:t>¥1221.0亿（同比-11.5%）</w:t>
            </w:r>
          </w:p>
        </w:tc>
      </w:tr>
      <w:tr>
        <w:tc>
          <w:tcPr>
            <w:tcW w:type="dxa" w:w="2160"/>
          </w:tcPr>
          <w:p>
            <w:pPr>
              <w:jc w:val="right"/>
            </w:pPr>
            <w:r>
              <w:rPr>
                <w:rFonts w:ascii="宋体" w:hAnsi="宋体" w:eastAsia="宋体"/>
                <w:b w:val="0"/>
                <w:sz w:val="18"/>
              </w:rPr>
              <w:t>核心市占率</w:t>
            </w:r>
          </w:p>
        </w:tc>
        <w:tc>
          <w:tcPr>
            <w:tcW w:type="dxa" w:w="2160"/>
          </w:tcPr>
          <w:p>
            <w:pPr>
              <w:jc w:val="right"/>
            </w:pPr>
            <w:r>
              <w:rPr>
                <w:rFonts w:ascii="宋体" w:hAnsi="宋体" w:eastAsia="宋体"/>
                <w:b w:val="0"/>
                <w:sz w:val="18"/>
              </w:rPr>
              <w:t>中国海域天然气生产约25%</w:t>
            </w:r>
          </w:p>
        </w:tc>
        <w:tc>
          <w:tcPr>
            <w:tcW w:type="dxa" w:w="2160"/>
          </w:tcPr>
          <w:p>
            <w:pPr>
              <w:jc w:val="right"/>
            </w:pPr>
            <w:r>
              <w:rPr>
                <w:rFonts w:ascii="宋体" w:hAnsi="宋体" w:eastAsia="宋体"/>
                <w:b w:val="0"/>
                <w:sz w:val="18"/>
              </w:rPr>
              <w:t>2025年ROE</w:t>
            </w:r>
          </w:p>
        </w:tc>
        <w:tc>
          <w:tcPr>
            <w:tcW w:type="dxa" w:w="2160"/>
          </w:tcPr>
          <w:p>
            <w:pPr>
              <w:jc w:val="right"/>
            </w:pPr>
            <w:r>
              <w:rPr>
                <w:rFonts w:ascii="宋体" w:hAnsi="宋体" w:eastAsia="宋体"/>
                <w:b w:val="0"/>
                <w:sz w:val="18"/>
              </w:rPr>
              <w:t>15.64%</w:t>
            </w:r>
          </w:p>
        </w:tc>
      </w:tr>
    </w:tbl>
    <w:p/>
    <w:p>
      <w:pPr>
        <w:pStyle w:val="Heading2"/>
        <w:spacing w:before="240" w:after="120" w:line="360" w:lineRule="auto"/>
      </w:pPr>
      <w:r>
        <w:rPr>
          <w:rFonts w:ascii="黑体" w:hAnsi="黑体" w:eastAsia="黑体"/>
          <w:b/>
          <w:sz w:val="28"/>
        </w:rPr>
        <w:t>1.2 DCF 反算隐含终局利润 L</w:t>
      </w:r>
    </w:p>
    <w:p>
      <w:pPr>
        <w:spacing w:line="360" w:lineRule="auto" w:after="120"/>
        <w:ind w:firstLine="480"/>
      </w:pPr>
      <w:r>
        <w:rPr>
          <w:rFonts w:ascii="宋体" w:hAnsi="宋体" w:eastAsia="宋体"/>
          <w:b w:val="0"/>
          <w:sz w:val="24"/>
        </w:rPr>
        <w:t>基于DCF第一性原理，用当前市值（A股）¥13,351亿 + 前3年一致预期净利润（2026E-2028E）反推股价隐含的终局利润L。模型假设：前3年用一致预期E1/E2/E3；第4-8年（2029-2033年）从E3匀速增长至终局L；第9年（2034年）起永续稳定（g=0）。折现率取8%/10%/12%三档。</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折现率 r</w:t>
            </w:r>
          </w:p>
        </w:tc>
        <w:tc>
          <w:tcPr>
            <w:tcW w:type="dxa" w:w="1728"/>
          </w:tcPr>
          <w:p>
            <w:pPr>
              <w:jc w:val="center"/>
            </w:pPr>
            <w:r>
              <w:rPr>
                <w:rFonts w:ascii="黑体" w:hAnsi="黑体" w:eastAsia="黑体"/>
                <w:b/>
                <w:sz w:val="20"/>
              </w:rPr>
              <w:t>隐含终局利润 L（亿元）</w:t>
            </w:r>
          </w:p>
        </w:tc>
        <w:tc>
          <w:tcPr>
            <w:tcW w:type="dxa" w:w="1728"/>
          </w:tcPr>
          <w:p>
            <w:pPr>
              <w:jc w:val="center"/>
            </w:pPr>
            <w:r>
              <w:rPr>
                <w:rFonts w:ascii="黑体" w:hAnsi="黑体" w:eastAsia="黑体"/>
                <w:b/>
                <w:sz w:val="20"/>
              </w:rPr>
              <w:t>L/E3 倍数</w:t>
            </w:r>
          </w:p>
        </w:tc>
        <w:tc>
          <w:tcPr>
            <w:tcW w:type="dxa" w:w="1728"/>
          </w:tcPr>
          <w:p>
            <w:pPr>
              <w:jc w:val="center"/>
            </w:pPr>
            <w:r>
              <w:rPr>
                <w:rFonts w:ascii="黑体" w:hAnsi="黑体" w:eastAsia="黑体"/>
                <w:b/>
                <w:sz w:val="20"/>
              </w:rPr>
              <w:t>L/E0 倍数</w:t>
            </w:r>
          </w:p>
        </w:tc>
        <w:tc>
          <w:tcPr>
            <w:tcW w:type="dxa" w:w="1728"/>
          </w:tcPr>
          <w:p>
            <w:pPr>
              <w:jc w:val="center"/>
            </w:pPr>
            <w:r>
              <w:rPr>
                <w:rFonts w:ascii="黑体" w:hAnsi="黑体" w:eastAsia="黑体"/>
                <w:b/>
                <w:sz w:val="20"/>
              </w:rPr>
              <w:t>第4-8年隐含复合增速 g</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8%</w:t>
            </w:r>
          </w:p>
        </w:tc>
        <w:tc>
          <w:tcPr>
            <w:tcW w:type="dxa" w:w="1728"/>
          </w:tcPr>
          <w:p>
            <w:pPr>
              <w:jc w:val="center"/>
            </w:pPr>
            <w:r>
              <w:rPr>
                <w:rFonts w:ascii="黑体" w:hAnsi="黑体" w:eastAsia="黑体"/>
                <w:b/>
                <w:sz w:val="20"/>
              </w:rPr>
              <w:t>812.3</w:t>
            </w:r>
          </w:p>
        </w:tc>
        <w:tc>
          <w:tcPr>
            <w:tcW w:type="dxa" w:w="1728"/>
          </w:tcPr>
          <w:p>
            <w:pPr>
              <w:jc w:val="center"/>
            </w:pPr>
            <w:r>
              <w:rPr>
                <w:rFonts w:ascii="黑体" w:hAnsi="黑体" w:eastAsia="黑体"/>
                <w:b/>
                <w:sz w:val="20"/>
              </w:rPr>
              <w:t>0.49x</w:t>
            </w:r>
          </w:p>
        </w:tc>
        <w:tc>
          <w:tcPr>
            <w:tcW w:type="dxa" w:w="1728"/>
          </w:tcPr>
          <w:p>
            <w:pPr>
              <w:jc w:val="center"/>
            </w:pPr>
            <w:r>
              <w:rPr>
                <w:rFonts w:ascii="黑体" w:hAnsi="黑体" w:eastAsia="黑体"/>
                <w:b/>
                <w:sz w:val="20"/>
              </w:rPr>
              <w:t>0.67x</w:t>
            </w:r>
          </w:p>
        </w:tc>
        <w:tc>
          <w:tcPr>
            <w:tcW w:type="dxa" w:w="1728"/>
          </w:tcPr>
          <w:p>
            <w:pPr>
              <w:jc w:val="center"/>
            </w:pPr>
            <w:r>
              <w:rPr>
                <w:rFonts w:ascii="黑体" w:hAnsi="黑体" w:eastAsia="黑体"/>
                <w:b/>
                <w:sz w:val="20"/>
              </w:rPr>
              <w:t>-13.2%</w:t>
            </w:r>
          </w:p>
        </w:tc>
      </w:tr>
      <w:tr>
        <w:tc>
          <w:tcPr>
            <w:tcW w:type="dxa" w:w="1728"/>
          </w:tcPr>
          <w:p>
            <w:pPr>
              <w:jc w:val="right"/>
            </w:pPr>
            <w:r>
              <w:rPr>
                <w:rFonts w:ascii="宋体" w:hAnsi="宋体" w:eastAsia="宋体"/>
                <w:b w:val="0"/>
                <w:sz w:val="18"/>
              </w:rPr>
              <w:t>12%</w:t>
            </w:r>
          </w:p>
        </w:tc>
        <w:tc>
          <w:tcPr>
            <w:tcW w:type="dxa" w:w="1728"/>
          </w:tcPr>
          <w:p>
            <w:pPr>
              <w:jc w:val="right"/>
            </w:pPr>
            <w:r>
              <w:rPr>
                <w:rFonts w:ascii="宋体" w:hAnsi="宋体" w:eastAsia="宋体"/>
                <w:b w:val="0"/>
                <w:sz w:val="18"/>
              </w:rPr>
              <w:t>1587.3</w:t>
            </w:r>
          </w:p>
        </w:tc>
        <w:tc>
          <w:tcPr>
            <w:tcW w:type="dxa" w:w="1728"/>
          </w:tcPr>
          <w:p>
            <w:pPr>
              <w:jc w:val="right"/>
            </w:pPr>
            <w:r>
              <w:rPr>
                <w:rFonts w:ascii="宋体" w:hAnsi="宋体" w:eastAsia="宋体"/>
                <w:b w:val="0"/>
                <w:sz w:val="18"/>
              </w:rPr>
              <w:t>0.96x</w:t>
            </w:r>
          </w:p>
        </w:tc>
        <w:tc>
          <w:tcPr>
            <w:tcW w:type="dxa" w:w="1728"/>
          </w:tcPr>
          <w:p>
            <w:pPr>
              <w:jc w:val="right"/>
            </w:pPr>
            <w:r>
              <w:rPr>
                <w:rFonts w:ascii="宋体" w:hAnsi="宋体" w:eastAsia="宋体"/>
                <w:b w:val="0"/>
                <w:sz w:val="18"/>
              </w:rPr>
              <w:t>1.30x</w:t>
            </w:r>
          </w:p>
        </w:tc>
        <w:tc>
          <w:tcPr>
            <w:tcW w:type="dxa" w:w="1728"/>
          </w:tcPr>
          <w:p>
            <w:pPr>
              <w:jc w:val="right"/>
            </w:pPr>
            <w:r>
              <w:rPr>
                <w:rFonts w:ascii="宋体" w:hAnsi="宋体" w:eastAsia="宋体"/>
                <w:b w:val="0"/>
                <w:sz w:val="18"/>
              </w:rPr>
              <w:t>-0.7%</w:t>
            </w:r>
          </w:p>
        </w:tc>
      </w:tr>
    </w:tbl>
    <w:p/>
    <w:p>
      <w:pPr>
        <w:jc w:val="center"/>
      </w:pPr>
      <w:r>
        <w:drawing>
          <wp:inline xmlns:a="http://schemas.openxmlformats.org/drawingml/2006/main" xmlns:pic="http://schemas.openxmlformats.org/drawingml/2006/picture">
            <wp:extent cx="5029200" cy="3318332"/>
            <wp:docPr id="1" name="Picture 1"/>
            <wp:cNvGraphicFramePr>
              <a:graphicFrameLocks noChangeAspect="1"/>
            </wp:cNvGraphicFramePr>
            <a:graphic>
              <a:graphicData uri="http://schemas.openxmlformats.org/drawingml/2006/picture">
                <pic:pic>
                  <pic:nvPicPr>
                    <pic:cNvPr id="0" name="chart_1_1_dcf_sensitivity.png"/>
                    <pic:cNvPicPr/>
                  </pic:nvPicPr>
                  <pic:blipFill>
                    <a:blip r:embed="rId9"/>
                    <a:stretch>
                      <a:fillRect/>
                    </a:stretch>
                  </pic:blipFill>
                  <pic:spPr>
                    <a:xfrm>
                      <a:off x="0" y="0"/>
                      <a:ext cx="5029200" cy="3318332"/>
                    </a:xfrm>
                    <a:prstGeom prst="rect"/>
                  </pic:spPr>
                </pic:pic>
              </a:graphicData>
            </a:graphic>
          </wp:inline>
        </w:drawing>
      </w:r>
    </w:p>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chart_1_2_consensus.png"/>
                    <pic:cNvPicPr/>
                  </pic:nvPicPr>
                  <pic:blipFill>
                    <a:blip r:embed="rId10"/>
                    <a:stretch>
                      <a:fillRect/>
                    </a:stretch>
                  </pic:blipFill>
                  <pic:spPr>
                    <a:xfrm>
                      <a:off x="0" y="0"/>
                      <a:ext cx="5029200" cy="3352800"/>
                    </a:xfrm>
                    <a:prstGeom prst="rect"/>
                  </pic:spPr>
                </pic:pic>
              </a:graphicData>
            </a:graphic>
          </wp:inline>
        </w:drawing>
      </w:r>
    </w:p>
    <w:p/>
    <w:p>
      <w:pPr>
        <w:pStyle w:val="Heading2"/>
        <w:spacing w:before="240" w:after="120" w:line="360" w:lineRule="auto"/>
      </w:pPr>
      <w:r>
        <w:rPr>
          <w:rFonts w:ascii="黑体" w:hAnsi="黑体" w:eastAsia="黑体"/>
          <w:b/>
          <w:sz w:val="28"/>
        </w:rPr>
        <w:t>1.3 叙事类型判断与产业空间对照</w:t>
      </w:r>
    </w:p>
    <w:p>
      <w:pPr>
        <w:spacing w:line="360" w:lineRule="auto" w:after="120"/>
        <w:ind w:firstLine="480"/>
      </w:pPr>
      <w:r>
        <w:rPr>
          <w:rFonts w:ascii="宋体" w:hAnsi="宋体" w:eastAsia="宋体"/>
          <w:b w:val="0"/>
          <w:sz w:val="24"/>
        </w:rPr>
        <w:t>以中性折现率r=10%为基准，当前市值隐含的终局利润L=1,163.6亿元，约为2028年一致预期净利润E3（1,646亿元）的0.71倍，约为2025年实际净利润E0（1,221亿元）的0.95倍。按照L/E3叙事分级，该倍数落在0.5-1倍区间，属于下滑叙事。这意味着A股市场当前定价假设：中国海油在2028年之后的长期盈利中枢将低于2028年一致预期，且仅与2025年实际盈利基本持平。</w:t>
      </w:r>
    </w:p>
    <w:p>
      <w:pPr>
        <w:spacing w:line="360" w:lineRule="auto" w:after="120"/>
        <w:ind w:firstLine="480"/>
      </w:pPr>
      <w:r>
        <w:rPr>
          <w:rFonts w:ascii="宋体" w:hAnsi="宋体" w:eastAsia="宋体"/>
          <w:b w:val="0"/>
          <w:sz w:val="24"/>
        </w:rPr>
        <w:t>产业空间测算：若中国海油维持2026-2028年约7.8-8.0亿桶油当量的年产量，假设长期油价中枢65-70美元/桶、桶油成本控制在28美元/桶左右，稳态净利润理论上可维持在1,200-1,400亿元区间。DCF反算L=1,164亿处于该区间下沿，表明市场对油价中枢、产量增长、成本控制的长期假设偏保守。特别是若布伦特油价中枢长期维持在75美元以上、圭亚那等海外项目持续贡献，终局利润存在上修空间。综合判断：当前估值与产业空间基本匹配，但并未计入油价上行或产量超预期的期权价值。</w:t>
      </w:r>
    </w:p>
    <w:p>
      <w:pPr>
        <w:pStyle w:val="Heading2"/>
        <w:spacing w:before="240" w:after="120" w:line="360" w:lineRule="auto"/>
      </w:pPr>
      <w:r>
        <w:rPr>
          <w:rFonts w:ascii="黑体" w:hAnsi="黑体" w:eastAsia="黑体"/>
          <w:b/>
          <w:sz w:val="28"/>
        </w:rPr>
        <w:t>1.4 财报验证重点</w:t>
      </w:r>
    </w:p>
    <w:p>
      <w:pPr>
        <w:spacing w:line="360" w:lineRule="auto" w:after="120"/>
        <w:ind w:firstLine="480"/>
      </w:pPr>
      <w:r>
        <w:rPr>
          <w:rFonts w:ascii="宋体" w:hAnsi="宋体" w:eastAsia="宋体"/>
          <w:b w:val="0"/>
          <w:sz w:val="24"/>
        </w:rPr>
        <w:t>基于下滑叙事的估值假设，财报验证重点应聚焦于：1）当前高利润是否可持续；2）成本优势是否稳固；3）资本开支效率是否下降；4）现金流与分红质量；5）资产负债表是否存在油价下行周期中的减值风险。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验证维度</w:t>
            </w:r>
          </w:p>
        </w:tc>
        <w:tc>
          <w:tcPr>
            <w:tcW w:type="dxa" w:w="2160"/>
          </w:tcPr>
          <w:p>
            <w:pPr>
              <w:jc w:val="center"/>
            </w:pPr>
            <w:r>
              <w:rPr>
                <w:rFonts w:ascii="黑体" w:hAnsi="黑体" w:eastAsia="黑体"/>
                <w:b/>
                <w:sz w:val="20"/>
              </w:rPr>
              <w:t>关键科目</w:t>
            </w:r>
          </w:p>
        </w:tc>
        <w:tc>
          <w:tcPr>
            <w:tcW w:type="dxa" w:w="2160"/>
          </w:tcPr>
          <w:p>
            <w:pPr>
              <w:jc w:val="center"/>
            </w:pPr>
            <w:r>
              <w:rPr>
                <w:rFonts w:ascii="黑体" w:hAnsi="黑体" w:eastAsia="黑体"/>
                <w:b/>
                <w:sz w:val="20"/>
              </w:rPr>
              <w:t>验证逻辑</w:t>
            </w:r>
          </w:p>
        </w:tc>
        <w:tc>
          <w:tcPr>
            <w:tcW w:type="dxa" w:w="2160"/>
          </w:tcPr>
          <w:p>
            <w:pPr>
              <w:jc w:val="center"/>
            </w:pPr>
            <w:r>
              <w:rPr>
                <w:rFonts w:ascii="黑体" w:hAnsi="黑体" w:eastAsia="黑体"/>
                <w:b/>
                <w:sz w:val="20"/>
              </w:rPr>
              <w:t>中国海油关注点</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增长可持续性</w:t>
            </w:r>
          </w:p>
        </w:tc>
        <w:tc>
          <w:tcPr>
            <w:tcW w:type="dxa" w:w="2160"/>
          </w:tcPr>
          <w:p>
            <w:pPr>
              <w:jc w:val="center"/>
            </w:pPr>
            <w:r>
              <w:rPr>
                <w:rFonts w:ascii="黑体" w:hAnsi="黑体" w:eastAsia="黑体"/>
                <w:b/>
                <w:sz w:val="20"/>
              </w:rPr>
              <w:t>营收增速、油气产量</w:t>
            </w:r>
          </w:p>
        </w:tc>
        <w:tc>
          <w:tcPr>
            <w:tcW w:type="dxa" w:w="2160"/>
          </w:tcPr>
          <w:p>
            <w:pPr>
              <w:jc w:val="center"/>
            </w:pPr>
            <w:r>
              <w:rPr>
                <w:rFonts w:ascii="黑体" w:hAnsi="黑体" w:eastAsia="黑体"/>
                <w:b/>
                <w:sz w:val="20"/>
              </w:rPr>
              <w:t>产量增速是否匹配资本开支</w:t>
            </w:r>
          </w:p>
        </w:tc>
        <w:tc>
          <w:tcPr>
            <w:tcW w:type="dxa" w:w="2160"/>
          </w:tcPr>
          <w:p>
            <w:pPr>
              <w:jc w:val="center"/>
            </w:pPr>
            <w:r>
              <w:rPr>
                <w:rFonts w:ascii="黑体" w:hAnsi="黑体" w:eastAsia="黑体"/>
                <w:b/>
                <w:sz w:val="20"/>
              </w:rPr>
              <w:t>2025年产量+7.0%，2026Q1+8.6%</w:t>
            </w:r>
          </w:p>
        </w:tc>
      </w:tr>
      <w:tr>
        <w:tc>
          <w:tcPr>
            <w:tcW w:type="dxa" w:w="2160"/>
          </w:tcPr>
          <w:p>
            <w:pPr>
              <w:jc w:val="right"/>
            </w:pPr>
            <w:r>
              <w:rPr>
                <w:rFonts w:ascii="宋体" w:hAnsi="宋体" w:eastAsia="宋体"/>
                <w:b w:val="0"/>
                <w:sz w:val="18"/>
              </w:rPr>
              <w:t>再投资效率</w:t>
            </w:r>
          </w:p>
        </w:tc>
        <w:tc>
          <w:tcPr>
            <w:tcW w:type="dxa" w:w="2160"/>
          </w:tcPr>
          <w:p>
            <w:pPr>
              <w:jc w:val="right"/>
            </w:pPr>
            <w:r>
              <w:rPr>
                <w:rFonts w:ascii="宋体" w:hAnsi="宋体" w:eastAsia="宋体"/>
                <w:b w:val="0"/>
                <w:sz w:val="18"/>
              </w:rPr>
              <w:t>油气资产、固定资产周转率</w:t>
            </w:r>
          </w:p>
        </w:tc>
        <w:tc>
          <w:tcPr>
            <w:tcW w:type="dxa" w:w="2160"/>
          </w:tcPr>
          <w:p>
            <w:pPr>
              <w:jc w:val="right"/>
            </w:pPr>
            <w:r>
              <w:rPr>
                <w:rFonts w:ascii="宋体" w:hAnsi="宋体" w:eastAsia="宋体"/>
                <w:b w:val="0"/>
                <w:sz w:val="18"/>
              </w:rPr>
              <w:t>单位资本开支是否转化为产量</w:t>
            </w:r>
          </w:p>
        </w:tc>
        <w:tc>
          <w:tcPr>
            <w:tcW w:type="dxa" w:w="2160"/>
          </w:tcPr>
          <w:p>
            <w:pPr>
              <w:jc w:val="right"/>
            </w:pPr>
            <w:r>
              <w:rPr>
                <w:rFonts w:ascii="宋体" w:hAnsi="宋体" w:eastAsia="宋体"/>
                <w:b w:val="0"/>
                <w:sz w:val="18"/>
              </w:rPr>
              <w:t>油气资产5,089亿，固定资产周转率59.9x</w:t>
            </w:r>
          </w:p>
        </w:tc>
      </w:tr>
      <w:tr>
        <w:tc>
          <w:tcPr>
            <w:tcW w:type="dxa" w:w="2160"/>
          </w:tcPr>
          <w:p>
            <w:pPr>
              <w:jc w:val="right"/>
            </w:pPr>
            <w:r>
              <w:rPr>
                <w:rFonts w:ascii="宋体" w:hAnsi="宋体" w:eastAsia="宋体"/>
                <w:b w:val="0"/>
                <w:sz w:val="18"/>
              </w:rPr>
              <w:t>现金流质量</w:t>
            </w:r>
          </w:p>
        </w:tc>
        <w:tc>
          <w:tcPr>
            <w:tcW w:type="dxa" w:w="2160"/>
          </w:tcPr>
          <w:p>
            <w:pPr>
              <w:jc w:val="right"/>
            </w:pPr>
            <w:r>
              <w:rPr>
                <w:rFonts w:ascii="宋体" w:hAnsi="宋体" w:eastAsia="宋体"/>
                <w:b w:val="0"/>
                <w:sz w:val="18"/>
              </w:rPr>
              <w:t>经营现金流/净利润、自由现金流</w:t>
            </w:r>
          </w:p>
        </w:tc>
        <w:tc>
          <w:tcPr>
            <w:tcW w:type="dxa" w:w="2160"/>
          </w:tcPr>
          <w:p>
            <w:pPr>
              <w:jc w:val="right"/>
            </w:pPr>
            <w:r>
              <w:rPr>
                <w:rFonts w:ascii="宋体" w:hAnsi="宋体" w:eastAsia="宋体"/>
                <w:b w:val="0"/>
                <w:sz w:val="18"/>
              </w:rPr>
              <w:t>利润现金含金量</w:t>
            </w:r>
          </w:p>
        </w:tc>
        <w:tc>
          <w:tcPr>
            <w:tcW w:type="dxa" w:w="2160"/>
          </w:tcPr>
          <w:p>
            <w:pPr>
              <w:jc w:val="right"/>
            </w:pPr>
            <w:r>
              <w:rPr>
                <w:rFonts w:ascii="宋体" w:hAnsi="宋体" w:eastAsia="宋体"/>
                <w:b w:val="0"/>
                <w:sz w:val="18"/>
              </w:rPr>
              <w:t>2025年经营现金流2,090亿，自由现金流974亿</w:t>
            </w:r>
          </w:p>
        </w:tc>
      </w:tr>
      <w:tr>
        <w:tc>
          <w:tcPr>
            <w:tcW w:type="dxa" w:w="2160"/>
          </w:tcPr>
          <w:p>
            <w:pPr>
              <w:jc w:val="right"/>
            </w:pPr>
            <w:r>
              <w:rPr>
                <w:rFonts w:ascii="宋体" w:hAnsi="宋体" w:eastAsia="宋体"/>
                <w:b w:val="0"/>
                <w:sz w:val="18"/>
              </w:rPr>
              <w:t>产业链地位</w:t>
            </w:r>
          </w:p>
        </w:tc>
        <w:tc>
          <w:tcPr>
            <w:tcW w:type="dxa" w:w="2160"/>
          </w:tcPr>
          <w:p>
            <w:pPr>
              <w:jc w:val="right"/>
            </w:pPr>
            <w:r>
              <w:rPr>
                <w:rFonts w:ascii="宋体" w:hAnsi="宋体" w:eastAsia="宋体"/>
                <w:b w:val="0"/>
                <w:sz w:val="18"/>
              </w:rPr>
              <w:t>营运资本/总资产、应付-应收</w:t>
            </w:r>
          </w:p>
        </w:tc>
        <w:tc>
          <w:tcPr>
            <w:tcW w:type="dxa" w:w="2160"/>
          </w:tcPr>
          <w:p>
            <w:pPr>
              <w:jc w:val="right"/>
            </w:pPr>
            <w:r>
              <w:rPr>
                <w:rFonts w:ascii="宋体" w:hAnsi="宋体" w:eastAsia="宋体"/>
                <w:b w:val="0"/>
                <w:sz w:val="18"/>
              </w:rPr>
              <w:t>对上下游占款能力</w:t>
            </w:r>
          </w:p>
        </w:tc>
        <w:tc>
          <w:tcPr>
            <w:tcW w:type="dxa" w:w="2160"/>
          </w:tcPr>
          <w:p>
            <w:pPr>
              <w:jc w:val="right"/>
            </w:pPr>
            <w:r>
              <w:rPr>
                <w:rFonts w:ascii="宋体" w:hAnsi="宋体" w:eastAsia="宋体"/>
                <w:b w:val="0"/>
                <w:sz w:val="18"/>
              </w:rPr>
              <w:t>应付账款596亿 vs 应收账款330亿，占款能力强</w:t>
            </w:r>
          </w:p>
        </w:tc>
      </w:tr>
      <w:tr>
        <w:tc>
          <w:tcPr>
            <w:tcW w:type="dxa" w:w="2160"/>
          </w:tcPr>
          <w:p>
            <w:pPr>
              <w:jc w:val="right"/>
            </w:pPr>
            <w:r>
              <w:rPr>
                <w:rFonts w:ascii="宋体" w:hAnsi="宋体" w:eastAsia="宋体"/>
                <w:b w:val="0"/>
                <w:sz w:val="18"/>
              </w:rPr>
              <w:t>资产减值风险</w:t>
            </w:r>
          </w:p>
        </w:tc>
        <w:tc>
          <w:tcPr>
            <w:tcW w:type="dxa" w:w="2160"/>
          </w:tcPr>
          <w:p>
            <w:pPr>
              <w:jc w:val="right"/>
            </w:pPr>
            <w:r>
              <w:rPr>
                <w:rFonts w:ascii="宋体" w:hAnsi="宋体" w:eastAsia="宋体"/>
                <w:b w:val="0"/>
                <w:sz w:val="18"/>
              </w:rPr>
              <w:t>油气资产、商誉、弃置拨备</w:t>
            </w:r>
          </w:p>
        </w:tc>
        <w:tc>
          <w:tcPr>
            <w:tcW w:type="dxa" w:w="2160"/>
          </w:tcPr>
          <w:p>
            <w:pPr>
              <w:jc w:val="right"/>
            </w:pPr>
            <w:r>
              <w:rPr>
                <w:rFonts w:ascii="宋体" w:hAnsi="宋体" w:eastAsia="宋体"/>
                <w:b w:val="0"/>
                <w:sz w:val="18"/>
              </w:rPr>
              <w:t>油价下跌是否触发减值</w:t>
            </w:r>
          </w:p>
        </w:tc>
        <w:tc>
          <w:tcPr>
            <w:tcW w:type="dxa" w:w="2160"/>
          </w:tcPr>
          <w:p>
            <w:pPr>
              <w:jc w:val="right"/>
            </w:pPr>
            <w:r>
              <w:rPr>
                <w:rFonts w:ascii="宋体" w:hAnsi="宋体" w:eastAsia="宋体"/>
                <w:b w:val="0"/>
                <w:sz w:val="18"/>
              </w:rPr>
              <w:t>油气资产占比高，2025年资产减值38.2亿</w:t>
            </w:r>
          </w:p>
        </w:tc>
      </w:tr>
    </w:tbl>
    <w:p/>
    <w:p>
      <w:pPr>
        <w:pStyle w:val="Heading1"/>
        <w:spacing w:before="240" w:after="120" w:line="360" w:lineRule="auto"/>
      </w:pPr>
      <w:r>
        <w:rPr>
          <w:rFonts w:ascii="黑体" w:hAnsi="黑体" w:eastAsia="黑体"/>
          <w:b/>
          <w:sz w:val="36"/>
        </w:rPr>
        <w:t>第二部分　资产负债表深度分析（完整科目 + 逐项变动分析）</w:t>
      </w:r>
    </w:p>
    <w:p>
      <w:pPr>
        <w:spacing w:line="360" w:lineRule="auto" w:after="120"/>
        <w:ind w:firstLine="480"/>
      </w:pPr>
      <w:r>
        <w:rPr>
          <w:rFonts w:ascii="宋体" w:hAnsi="宋体" w:eastAsia="宋体"/>
          <w:b w:val="0"/>
          <w:sz w:val="24"/>
        </w:rPr>
        <w:t>本部分对2023年末、2024年末、2025年末及2026年一季度末四个时点资产负债表按完整科目逐项列示。列示2024年末较2023年末的净增加值及增长率，以及2025年末较2024年末的净增加值及增长率。2026年一季度末数据与2025年末比较（季节性调整）。变动大于20%的科目在表格中以增长率绝对值标注。</w:t>
      </w:r>
    </w:p>
    <w:p>
      <w:pPr>
        <w:spacing w:line="360" w:lineRule="auto" w:after="120"/>
        <w:ind w:firstLine="480"/>
      </w:pPr>
      <w:r>
        <w:rPr>
          <w:rFonts w:ascii="宋体" w:hAnsi="宋体" w:eastAsia="宋体"/>
          <w:b w:val="0"/>
          <w:sz w:val="24"/>
        </w:rPr>
        <w:t>注：部分科目因披露口径差异存在缺失，以—标注。单位：亿元。</w:t>
      </w:r>
    </w:p>
    <w:p>
      <w:pPr>
        <w:pStyle w:val="Heading2"/>
        <w:spacing w:before="240" w:after="120" w:line="360" w:lineRule="auto"/>
      </w:pPr>
      <w:r>
        <w:rPr>
          <w:rFonts w:ascii="黑体" w:hAnsi="黑体" w:eastAsia="黑体"/>
          <w:b/>
          <w:sz w:val="28"/>
        </w:rPr>
        <w:t>2.1 流动资产深度分析</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科目</w:t>
            </w:r>
          </w:p>
        </w:tc>
        <w:tc>
          <w:tcPr>
            <w:tcW w:type="dxa" w:w="785"/>
          </w:tcPr>
          <w:p>
            <w:pPr>
              <w:jc w:val="center"/>
            </w:pPr>
            <w:r>
              <w:rPr>
                <w:rFonts w:ascii="黑体" w:hAnsi="黑体" w:eastAsia="黑体"/>
                <w:b/>
                <w:sz w:val="20"/>
              </w:rPr>
              <w:t>2023末</w:t>
            </w:r>
          </w:p>
        </w:tc>
        <w:tc>
          <w:tcPr>
            <w:tcW w:type="dxa" w:w="785"/>
          </w:tcPr>
          <w:p>
            <w:pPr>
              <w:jc w:val="center"/>
            </w:pPr>
            <w:r>
              <w:rPr>
                <w:rFonts w:ascii="黑体" w:hAnsi="黑体" w:eastAsia="黑体"/>
                <w:b/>
                <w:sz w:val="20"/>
              </w:rPr>
              <w:t>2024末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2025末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2026Q1</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货币资金</w:t>
            </w:r>
          </w:p>
        </w:tc>
        <w:tc>
          <w:tcPr>
            <w:tcW w:type="dxa" w:w="785"/>
          </w:tcPr>
          <w:p>
            <w:pPr>
              <w:jc w:val="center"/>
            </w:pPr>
            <w:r>
              <w:rPr>
                <w:rFonts w:ascii="黑体" w:hAnsi="黑体" w:eastAsia="黑体"/>
                <w:b/>
                <w:sz w:val="20"/>
              </w:rPr>
              <w:t>1,334.00</w:t>
            </w:r>
          </w:p>
        </w:tc>
        <w:tc>
          <w:tcPr>
            <w:tcW w:type="dxa" w:w="785"/>
          </w:tcPr>
          <w:p>
            <w:pPr>
              <w:jc w:val="center"/>
            </w:pPr>
            <w:r>
              <w:rPr>
                <w:rFonts w:ascii="黑体" w:hAnsi="黑体" w:eastAsia="黑体"/>
                <w:b/>
                <w:sz w:val="20"/>
              </w:rPr>
              <w:t>812.80</w:t>
            </w:r>
          </w:p>
        </w:tc>
        <w:tc>
          <w:tcPr>
            <w:tcW w:type="dxa" w:w="785"/>
          </w:tcPr>
          <w:p>
            <w:pPr>
              <w:jc w:val="center"/>
            </w:pPr>
            <w:r>
              <w:rPr>
                <w:rFonts w:ascii="黑体" w:hAnsi="黑体" w:eastAsia="黑体"/>
                <w:b/>
                <w:sz w:val="20"/>
              </w:rPr>
              <w:t>-521.20</w:t>
            </w:r>
          </w:p>
        </w:tc>
        <w:tc>
          <w:tcPr>
            <w:tcW w:type="dxa" w:w="785"/>
          </w:tcPr>
          <w:p>
            <w:pPr>
              <w:jc w:val="center"/>
            </w:pPr>
            <w:r>
              <w:rPr>
                <w:rFonts w:ascii="黑体" w:hAnsi="黑体" w:eastAsia="黑体"/>
                <w:b/>
                <w:sz w:val="20"/>
              </w:rPr>
              <w:t>-39.1%</w:t>
            </w:r>
          </w:p>
        </w:tc>
        <w:tc>
          <w:tcPr>
            <w:tcW w:type="dxa" w:w="785"/>
          </w:tcPr>
          <w:p>
            <w:pPr>
              <w:jc w:val="center"/>
            </w:pPr>
            <w:r>
              <w:rPr>
                <w:rFonts w:ascii="黑体" w:hAnsi="黑体" w:eastAsia="黑体"/>
                <w:b/>
                <w:sz w:val="20"/>
              </w:rPr>
              <w:t>2,147.00</w:t>
            </w:r>
          </w:p>
        </w:tc>
        <w:tc>
          <w:tcPr>
            <w:tcW w:type="dxa" w:w="785"/>
          </w:tcPr>
          <w:p>
            <w:pPr>
              <w:jc w:val="center"/>
            </w:pPr>
            <w:r>
              <w:rPr>
                <w:rFonts w:ascii="黑体" w:hAnsi="黑体" w:eastAsia="黑体"/>
                <w:b/>
                <w:sz w:val="20"/>
              </w:rPr>
              <w:t>1,334.20</w:t>
            </w:r>
          </w:p>
        </w:tc>
        <w:tc>
          <w:tcPr>
            <w:tcW w:type="dxa" w:w="785"/>
          </w:tcPr>
          <w:p>
            <w:pPr>
              <w:jc w:val="center"/>
            </w:pPr>
            <w:r>
              <w:rPr>
                <w:rFonts w:ascii="黑体" w:hAnsi="黑体" w:eastAsia="黑体"/>
                <w:b/>
                <w:sz w:val="20"/>
              </w:rPr>
              <w:t>+164.1%</w:t>
            </w:r>
          </w:p>
        </w:tc>
        <w:tc>
          <w:tcPr>
            <w:tcW w:type="dxa" w:w="785"/>
          </w:tcPr>
          <w:p>
            <w:pPr>
              <w:jc w:val="center"/>
            </w:pPr>
            <w:r>
              <w:rPr>
                <w:rFonts w:ascii="黑体" w:hAnsi="黑体" w:eastAsia="黑体"/>
                <w:b/>
                <w:sz w:val="20"/>
              </w:rPr>
              <w:t>2,463.35</w:t>
            </w:r>
          </w:p>
        </w:tc>
        <w:tc>
          <w:tcPr>
            <w:tcW w:type="dxa" w:w="785"/>
          </w:tcPr>
          <w:p>
            <w:pPr>
              <w:jc w:val="center"/>
            </w:pPr>
            <w:r>
              <w:rPr>
                <w:rFonts w:ascii="黑体" w:hAnsi="黑体" w:eastAsia="黑体"/>
                <w:b/>
                <w:sz w:val="20"/>
              </w:rPr>
              <w:t>316.35</w:t>
            </w:r>
          </w:p>
        </w:tc>
        <w:tc>
          <w:tcPr>
            <w:tcW w:type="dxa" w:w="785"/>
          </w:tcPr>
          <w:p>
            <w:pPr>
              <w:jc w:val="center"/>
            </w:pPr>
            <w:r>
              <w:rPr>
                <w:rFonts w:ascii="黑体" w:hAnsi="黑体" w:eastAsia="黑体"/>
                <w:b/>
                <w:sz w:val="20"/>
              </w:rPr>
              <w:t>+14.7%</w:t>
            </w:r>
          </w:p>
        </w:tc>
      </w:tr>
      <w:tr>
        <w:tc>
          <w:tcPr>
            <w:tcW w:type="dxa" w:w="785"/>
          </w:tcPr>
          <w:p>
            <w:pPr>
              <w:jc w:val="right"/>
            </w:pPr>
            <w:r>
              <w:rPr>
                <w:rFonts w:ascii="宋体" w:hAnsi="宋体" w:eastAsia="宋体"/>
                <w:b w:val="0"/>
                <w:sz w:val="18"/>
              </w:rPr>
              <w:t>应收票据</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1.34</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0.16</w:t>
            </w:r>
          </w:p>
        </w:tc>
        <w:tc>
          <w:tcPr>
            <w:tcW w:type="dxa" w:w="785"/>
          </w:tcPr>
          <w:p>
            <w:pPr>
              <w:jc w:val="right"/>
            </w:pPr>
            <w:r>
              <w:rPr>
                <w:rFonts w:ascii="宋体" w:hAnsi="宋体" w:eastAsia="宋体"/>
                <w:b w:val="0"/>
                <w:sz w:val="18"/>
              </w:rPr>
              <w:t>-1.18</w:t>
            </w:r>
          </w:p>
        </w:tc>
        <w:tc>
          <w:tcPr>
            <w:tcW w:type="dxa" w:w="785"/>
          </w:tcPr>
          <w:p>
            <w:pPr>
              <w:jc w:val="right"/>
            </w:pPr>
            <w:r>
              <w:rPr>
                <w:rFonts w:ascii="宋体" w:hAnsi="宋体" w:eastAsia="宋体"/>
                <w:b w:val="0"/>
                <w:sz w:val="18"/>
              </w:rPr>
              <w:t>-88.1%</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应收账款</w:t>
            </w:r>
          </w:p>
        </w:tc>
        <w:tc>
          <w:tcPr>
            <w:tcW w:type="dxa" w:w="785"/>
          </w:tcPr>
          <w:p>
            <w:pPr>
              <w:jc w:val="right"/>
            </w:pPr>
            <w:r>
              <w:rPr>
                <w:rFonts w:ascii="宋体" w:hAnsi="宋体" w:eastAsia="宋体"/>
                <w:b w:val="0"/>
                <w:sz w:val="18"/>
              </w:rPr>
              <w:t>370.50</w:t>
            </w:r>
          </w:p>
        </w:tc>
        <w:tc>
          <w:tcPr>
            <w:tcW w:type="dxa" w:w="785"/>
          </w:tcPr>
          <w:p>
            <w:pPr>
              <w:jc w:val="right"/>
            </w:pPr>
            <w:r>
              <w:rPr>
                <w:rFonts w:ascii="宋体" w:hAnsi="宋体" w:eastAsia="宋体"/>
                <w:b w:val="0"/>
                <w:sz w:val="18"/>
              </w:rPr>
              <w:t>336.60</w:t>
            </w:r>
          </w:p>
        </w:tc>
        <w:tc>
          <w:tcPr>
            <w:tcW w:type="dxa" w:w="785"/>
          </w:tcPr>
          <w:p>
            <w:pPr>
              <w:jc w:val="right"/>
            </w:pPr>
            <w:r>
              <w:rPr>
                <w:rFonts w:ascii="宋体" w:hAnsi="宋体" w:eastAsia="宋体"/>
                <w:b w:val="0"/>
                <w:sz w:val="18"/>
              </w:rPr>
              <w:t>-33.90</w:t>
            </w:r>
          </w:p>
        </w:tc>
        <w:tc>
          <w:tcPr>
            <w:tcW w:type="dxa" w:w="785"/>
          </w:tcPr>
          <w:p>
            <w:pPr>
              <w:jc w:val="right"/>
            </w:pPr>
            <w:r>
              <w:rPr>
                <w:rFonts w:ascii="宋体" w:hAnsi="宋体" w:eastAsia="宋体"/>
                <w:b w:val="0"/>
                <w:sz w:val="18"/>
              </w:rPr>
              <w:t>-9.1%</w:t>
            </w:r>
          </w:p>
        </w:tc>
        <w:tc>
          <w:tcPr>
            <w:tcW w:type="dxa" w:w="785"/>
          </w:tcPr>
          <w:p>
            <w:pPr>
              <w:jc w:val="right"/>
            </w:pPr>
            <w:r>
              <w:rPr>
                <w:rFonts w:ascii="宋体" w:hAnsi="宋体" w:eastAsia="宋体"/>
                <w:b w:val="0"/>
                <w:sz w:val="18"/>
              </w:rPr>
              <w:t>329.60</w:t>
            </w:r>
          </w:p>
        </w:tc>
        <w:tc>
          <w:tcPr>
            <w:tcW w:type="dxa" w:w="785"/>
          </w:tcPr>
          <w:p>
            <w:pPr>
              <w:jc w:val="right"/>
            </w:pPr>
            <w:r>
              <w:rPr>
                <w:rFonts w:ascii="宋体" w:hAnsi="宋体" w:eastAsia="宋体"/>
                <w:b w:val="0"/>
                <w:sz w:val="18"/>
              </w:rPr>
              <w:t>-7.00</w:t>
            </w:r>
          </w:p>
        </w:tc>
        <w:tc>
          <w:tcPr>
            <w:tcW w:type="dxa" w:w="785"/>
          </w:tcPr>
          <w:p>
            <w:pPr>
              <w:jc w:val="right"/>
            </w:pPr>
            <w:r>
              <w:rPr>
                <w:rFonts w:ascii="宋体" w:hAnsi="宋体" w:eastAsia="宋体"/>
                <w:b w:val="0"/>
                <w:sz w:val="18"/>
              </w:rPr>
              <w:t>-2.1%</w:t>
            </w:r>
          </w:p>
        </w:tc>
        <w:tc>
          <w:tcPr>
            <w:tcW w:type="dxa" w:w="785"/>
          </w:tcPr>
          <w:p>
            <w:pPr>
              <w:jc w:val="right"/>
            </w:pPr>
            <w:r>
              <w:rPr>
                <w:rFonts w:ascii="宋体" w:hAnsi="宋体" w:eastAsia="宋体"/>
                <w:b w:val="0"/>
                <w:sz w:val="18"/>
              </w:rPr>
              <w:t>551.40</w:t>
            </w:r>
          </w:p>
        </w:tc>
        <w:tc>
          <w:tcPr>
            <w:tcW w:type="dxa" w:w="785"/>
          </w:tcPr>
          <w:p>
            <w:pPr>
              <w:jc w:val="right"/>
            </w:pPr>
            <w:r>
              <w:rPr>
                <w:rFonts w:ascii="宋体" w:hAnsi="宋体" w:eastAsia="宋体"/>
                <w:b w:val="0"/>
                <w:sz w:val="18"/>
              </w:rPr>
              <w:t>221.80</w:t>
            </w:r>
          </w:p>
        </w:tc>
        <w:tc>
          <w:tcPr>
            <w:tcW w:type="dxa" w:w="785"/>
          </w:tcPr>
          <w:p>
            <w:pPr>
              <w:jc w:val="right"/>
            </w:pPr>
            <w:r>
              <w:rPr>
                <w:rFonts w:ascii="宋体" w:hAnsi="宋体" w:eastAsia="宋体"/>
                <w:b w:val="0"/>
                <w:sz w:val="18"/>
              </w:rPr>
              <w:t>+67.3%</w:t>
            </w:r>
          </w:p>
        </w:tc>
      </w:tr>
      <w:tr>
        <w:tc>
          <w:tcPr>
            <w:tcW w:type="dxa" w:w="785"/>
          </w:tcPr>
          <w:p>
            <w:pPr>
              <w:jc w:val="right"/>
            </w:pPr>
            <w:r>
              <w:rPr>
                <w:rFonts w:ascii="宋体" w:hAnsi="宋体" w:eastAsia="宋体"/>
                <w:b w:val="0"/>
                <w:sz w:val="18"/>
              </w:rPr>
              <w:t>应收款项融资</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预付款项</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其他应收款</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存货</w:t>
            </w:r>
          </w:p>
        </w:tc>
        <w:tc>
          <w:tcPr>
            <w:tcW w:type="dxa" w:w="785"/>
          </w:tcPr>
          <w:p>
            <w:pPr>
              <w:jc w:val="right"/>
            </w:pPr>
            <w:r>
              <w:rPr>
                <w:rFonts w:ascii="宋体" w:hAnsi="宋体" w:eastAsia="宋体"/>
                <w:b w:val="0"/>
                <w:sz w:val="18"/>
              </w:rPr>
              <w:t>64.51</w:t>
            </w:r>
          </w:p>
        </w:tc>
        <w:tc>
          <w:tcPr>
            <w:tcW w:type="dxa" w:w="785"/>
          </w:tcPr>
          <w:p>
            <w:pPr>
              <w:jc w:val="right"/>
            </w:pPr>
            <w:r>
              <w:rPr>
                <w:rFonts w:ascii="宋体" w:hAnsi="宋体" w:eastAsia="宋体"/>
                <w:b w:val="0"/>
                <w:sz w:val="18"/>
              </w:rPr>
              <w:t>57.32</w:t>
            </w:r>
          </w:p>
        </w:tc>
        <w:tc>
          <w:tcPr>
            <w:tcW w:type="dxa" w:w="785"/>
          </w:tcPr>
          <w:p>
            <w:pPr>
              <w:jc w:val="right"/>
            </w:pPr>
            <w:r>
              <w:rPr>
                <w:rFonts w:ascii="宋体" w:hAnsi="宋体" w:eastAsia="宋体"/>
                <w:b w:val="0"/>
                <w:sz w:val="18"/>
              </w:rPr>
              <w:t>-7.19</w:t>
            </w:r>
          </w:p>
        </w:tc>
        <w:tc>
          <w:tcPr>
            <w:tcW w:type="dxa" w:w="785"/>
          </w:tcPr>
          <w:p>
            <w:pPr>
              <w:jc w:val="right"/>
            </w:pPr>
            <w:r>
              <w:rPr>
                <w:rFonts w:ascii="宋体" w:hAnsi="宋体" w:eastAsia="宋体"/>
                <w:b w:val="0"/>
                <w:sz w:val="18"/>
              </w:rPr>
              <w:t>-11.1%</w:t>
            </w:r>
          </w:p>
        </w:tc>
        <w:tc>
          <w:tcPr>
            <w:tcW w:type="dxa" w:w="785"/>
          </w:tcPr>
          <w:p>
            <w:pPr>
              <w:jc w:val="right"/>
            </w:pPr>
            <w:r>
              <w:rPr>
                <w:rFonts w:ascii="宋体" w:hAnsi="宋体" w:eastAsia="宋体"/>
                <w:b w:val="0"/>
                <w:sz w:val="18"/>
              </w:rPr>
              <w:t>60.90</w:t>
            </w:r>
          </w:p>
        </w:tc>
        <w:tc>
          <w:tcPr>
            <w:tcW w:type="dxa" w:w="785"/>
          </w:tcPr>
          <w:p>
            <w:pPr>
              <w:jc w:val="right"/>
            </w:pPr>
            <w:r>
              <w:rPr>
                <w:rFonts w:ascii="宋体" w:hAnsi="宋体" w:eastAsia="宋体"/>
                <w:b w:val="0"/>
                <w:sz w:val="18"/>
              </w:rPr>
              <w:t>3.58</w:t>
            </w:r>
          </w:p>
        </w:tc>
        <w:tc>
          <w:tcPr>
            <w:tcW w:type="dxa" w:w="785"/>
          </w:tcPr>
          <w:p>
            <w:pPr>
              <w:jc w:val="right"/>
            </w:pPr>
            <w:r>
              <w:rPr>
                <w:rFonts w:ascii="宋体" w:hAnsi="宋体" w:eastAsia="宋体"/>
                <w:b w:val="0"/>
                <w:sz w:val="18"/>
              </w:rPr>
              <w:t>+6.2%</w:t>
            </w:r>
          </w:p>
        </w:tc>
        <w:tc>
          <w:tcPr>
            <w:tcW w:type="dxa" w:w="785"/>
          </w:tcPr>
          <w:p>
            <w:pPr>
              <w:jc w:val="right"/>
            </w:pPr>
            <w:r>
              <w:rPr>
                <w:rFonts w:ascii="宋体" w:hAnsi="宋体" w:eastAsia="宋体"/>
                <w:b w:val="0"/>
                <w:sz w:val="18"/>
              </w:rPr>
              <w:t>55.45</w:t>
            </w:r>
          </w:p>
        </w:tc>
        <w:tc>
          <w:tcPr>
            <w:tcW w:type="dxa" w:w="785"/>
          </w:tcPr>
          <w:p>
            <w:pPr>
              <w:jc w:val="right"/>
            </w:pPr>
            <w:r>
              <w:rPr>
                <w:rFonts w:ascii="宋体" w:hAnsi="宋体" w:eastAsia="宋体"/>
                <w:b w:val="0"/>
                <w:sz w:val="18"/>
              </w:rPr>
              <w:t>-5.45</w:t>
            </w:r>
          </w:p>
        </w:tc>
        <w:tc>
          <w:tcPr>
            <w:tcW w:type="dxa" w:w="785"/>
          </w:tcPr>
          <w:p>
            <w:pPr>
              <w:jc w:val="right"/>
            </w:pPr>
            <w:r>
              <w:rPr>
                <w:rFonts w:ascii="宋体" w:hAnsi="宋体" w:eastAsia="宋体"/>
                <w:b w:val="0"/>
                <w:sz w:val="18"/>
              </w:rPr>
              <w:t>-8.9%</w:t>
            </w:r>
          </w:p>
        </w:tc>
      </w:tr>
      <w:tr>
        <w:tc>
          <w:tcPr>
            <w:tcW w:type="dxa" w:w="785"/>
          </w:tcPr>
          <w:p>
            <w:pPr>
              <w:jc w:val="right"/>
            </w:pPr>
            <w:r>
              <w:rPr>
                <w:rFonts w:ascii="宋体" w:hAnsi="宋体" w:eastAsia="宋体"/>
                <w:b w:val="0"/>
                <w:sz w:val="18"/>
              </w:rPr>
              <w:t>合同资产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一年内到期的非流动资产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其他流动资产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流动资产合计</w:t>
            </w:r>
          </w:p>
        </w:tc>
        <w:tc>
          <w:tcPr>
            <w:tcW w:type="dxa" w:w="785"/>
          </w:tcPr>
          <w:p>
            <w:pPr>
              <w:jc w:val="right"/>
            </w:pPr>
            <w:r>
              <w:rPr>
                <w:rFonts w:ascii="宋体" w:hAnsi="宋体" w:eastAsia="宋体"/>
                <w:b w:val="0"/>
                <w:sz w:val="18"/>
              </w:rPr>
              <w:t>2,503.00</w:t>
            </w:r>
          </w:p>
        </w:tc>
        <w:tc>
          <w:tcPr>
            <w:tcW w:type="dxa" w:w="785"/>
          </w:tcPr>
          <w:p>
            <w:pPr>
              <w:jc w:val="right"/>
            </w:pPr>
            <w:r>
              <w:rPr>
                <w:rFonts w:ascii="宋体" w:hAnsi="宋体" w:eastAsia="宋体"/>
                <w:b w:val="0"/>
                <w:sz w:val="18"/>
              </w:rPr>
              <w:t>2,646.00</w:t>
            </w:r>
          </w:p>
        </w:tc>
        <w:tc>
          <w:tcPr>
            <w:tcW w:type="dxa" w:w="785"/>
          </w:tcPr>
          <w:p>
            <w:pPr>
              <w:jc w:val="right"/>
            </w:pPr>
            <w:r>
              <w:rPr>
                <w:rFonts w:ascii="宋体" w:hAnsi="宋体" w:eastAsia="宋体"/>
                <w:b w:val="0"/>
                <w:sz w:val="18"/>
              </w:rPr>
              <w:t>143.00</w:t>
            </w:r>
          </w:p>
        </w:tc>
        <w:tc>
          <w:tcPr>
            <w:tcW w:type="dxa" w:w="785"/>
          </w:tcPr>
          <w:p>
            <w:pPr>
              <w:jc w:val="right"/>
            </w:pPr>
            <w:r>
              <w:rPr>
                <w:rFonts w:ascii="宋体" w:hAnsi="宋体" w:eastAsia="宋体"/>
                <w:b w:val="0"/>
                <w:sz w:val="18"/>
              </w:rPr>
              <w:t>+5.7%</w:t>
            </w:r>
          </w:p>
        </w:tc>
        <w:tc>
          <w:tcPr>
            <w:tcW w:type="dxa" w:w="785"/>
          </w:tcPr>
          <w:p>
            <w:pPr>
              <w:jc w:val="right"/>
            </w:pPr>
            <w:r>
              <w:rPr>
                <w:rFonts w:ascii="宋体" w:hAnsi="宋体" w:eastAsia="宋体"/>
                <w:b w:val="0"/>
                <w:sz w:val="18"/>
              </w:rPr>
              <w:t>2,954.00</w:t>
            </w:r>
          </w:p>
        </w:tc>
        <w:tc>
          <w:tcPr>
            <w:tcW w:type="dxa" w:w="785"/>
          </w:tcPr>
          <w:p>
            <w:pPr>
              <w:jc w:val="right"/>
            </w:pPr>
            <w:r>
              <w:rPr>
                <w:rFonts w:ascii="宋体" w:hAnsi="宋体" w:eastAsia="宋体"/>
                <w:b w:val="0"/>
                <w:sz w:val="18"/>
              </w:rPr>
              <w:t>308.00</w:t>
            </w:r>
          </w:p>
        </w:tc>
        <w:tc>
          <w:tcPr>
            <w:tcW w:type="dxa" w:w="785"/>
          </w:tcPr>
          <w:p>
            <w:pPr>
              <w:jc w:val="right"/>
            </w:pPr>
            <w:r>
              <w:rPr>
                <w:rFonts w:ascii="宋体" w:hAnsi="宋体" w:eastAsia="宋体"/>
                <w:b w:val="0"/>
                <w:sz w:val="18"/>
              </w:rPr>
              <w:t>+11.6%</w:t>
            </w:r>
          </w:p>
        </w:tc>
        <w:tc>
          <w:tcPr>
            <w:tcW w:type="dxa" w:w="785"/>
          </w:tcPr>
          <w:p>
            <w:pPr>
              <w:jc w:val="right"/>
            </w:pPr>
            <w:r>
              <w:rPr>
                <w:rFonts w:ascii="宋体" w:hAnsi="宋体" w:eastAsia="宋体"/>
                <w:b w:val="0"/>
                <w:sz w:val="18"/>
              </w:rPr>
              <w:t>3,429.32</w:t>
            </w:r>
          </w:p>
        </w:tc>
        <w:tc>
          <w:tcPr>
            <w:tcW w:type="dxa" w:w="785"/>
          </w:tcPr>
          <w:p>
            <w:pPr>
              <w:jc w:val="right"/>
            </w:pPr>
            <w:r>
              <w:rPr>
                <w:rFonts w:ascii="宋体" w:hAnsi="宋体" w:eastAsia="宋体"/>
                <w:b w:val="0"/>
                <w:sz w:val="18"/>
              </w:rPr>
              <w:t>475.32</w:t>
            </w:r>
          </w:p>
        </w:tc>
        <w:tc>
          <w:tcPr>
            <w:tcW w:type="dxa" w:w="785"/>
          </w:tcPr>
          <w:p>
            <w:pPr>
              <w:jc w:val="right"/>
            </w:pPr>
            <w:r>
              <w:rPr>
                <w:rFonts w:ascii="宋体" w:hAnsi="宋体" w:eastAsia="宋体"/>
                <w:b w:val="0"/>
                <w:sz w:val="18"/>
              </w:rPr>
              <w:t>+16.1%</w:t>
            </w:r>
          </w:p>
        </w:tc>
      </w:tr>
    </w:tbl>
    <w:p/>
    <w:p>
      <w:pPr>
        <w:spacing w:line="360" w:lineRule="auto" w:after="120"/>
        <w:ind w:firstLine="0"/>
      </w:pPr>
      <w:r>
        <w:rPr>
          <w:rFonts w:ascii="宋体" w:hAnsi="宋体" w:eastAsia="宋体"/>
          <w:b/>
          <w:sz w:val="24"/>
        </w:rPr>
        <w:t>流动资产分析：</w:t>
      </w:r>
    </w:p>
    <w:p>
      <w:pPr>
        <w:spacing w:line="360" w:lineRule="auto" w:after="120"/>
        <w:ind w:firstLine="480"/>
      </w:pPr>
      <w:r>
        <w:rPr>
          <w:rFonts w:ascii="宋体" w:hAnsi="宋体" w:eastAsia="宋体"/>
          <w:b w:val="0"/>
          <w:sz w:val="24"/>
        </w:rPr>
        <w:t>① 货币资金：从2023年末的1,334亿元降至2024年末的813亿元（-38.9%），主要系2024年分红、资本开支及偿还债务导致现金减少；2025年末大幅回升至2,147亿元（+164.2%），反映2025年经营现金流强劲（2,090亿元）且自由现金流充沛，公司选择囤积现金以应对油价波动和2026年资本开支计划。2026年一季度末货币资金进一步增至2,463亿元（+14.8%），季节性因素包括一季度利润集中回款、资本开支尚未大规模支付。结合2025年资本开支1,205亿元和2026年预算1,120-1,220亿元，当前货币资金对资本开支覆盖度约2倍，资金冗余度较高，但需关注高分红政策（2025年分红率45%）对现金的消耗。</w:t>
      </w:r>
    </w:p>
    <w:p>
      <w:pPr>
        <w:spacing w:line="360" w:lineRule="auto" w:after="120"/>
        <w:ind w:firstLine="480"/>
      </w:pPr>
      <w:r>
        <w:rPr>
          <w:rFonts w:ascii="宋体" w:hAnsi="宋体" w:eastAsia="宋体"/>
          <w:b w:val="0"/>
          <w:sz w:val="24"/>
        </w:rPr>
        <w:t>② 交易性金融资产：2024年末约482亿元，2025年末降至260亿元（-46.1%）。主要是公司赎回部分结构性存款/理财，用于补充经营性现金或分红。中国海油作为油气上游企业，金融资产占比本就不高，但持有交易性金融资产反映公司存在阶段性闲置资金运作。需关注其公允价值变动对利润的波动影响：2025年公允价值变动收益5.15亿元，占归母净利润仅0.4%，影响有限。</w:t>
      </w:r>
    </w:p>
    <w:p>
      <w:pPr>
        <w:spacing w:line="360" w:lineRule="auto" w:after="120"/>
        <w:ind w:firstLine="480"/>
      </w:pPr>
      <w:r>
        <w:rPr>
          <w:rFonts w:ascii="宋体" w:hAnsi="宋体" w:eastAsia="宋体"/>
          <w:b w:val="0"/>
          <w:sz w:val="24"/>
        </w:rPr>
        <w:t>③ 应收账款：从2023年末的370.5亿元降至2024年末的336.6亿元（-9.1%），2025年末进一步降至329.6亿元（-2.1%）。应收账款规模相对稳定，2024-2025年营收分别为4,205亿、3,982亿元，应收账款周转率约12.2x，账期约30天，显著优于行业平均。这得益于油气销售以现款现货、长协预收为主，客户信用质量高。但2026年一季度末应收账款增至551.4亿元（+67.4%），主要系季度末销售结算周期和油价上涨导致应收增加，需持续跟踪二季度回款情况。</w:t>
      </w:r>
    </w:p>
    <w:p>
      <w:pPr>
        <w:spacing w:line="360" w:lineRule="auto" w:after="120"/>
        <w:ind w:firstLine="480"/>
      </w:pPr>
      <w:r>
        <w:rPr>
          <w:rFonts w:ascii="宋体" w:hAnsi="宋体" w:eastAsia="宋体"/>
          <w:b w:val="0"/>
          <w:sz w:val="24"/>
        </w:rPr>
        <w:t>④ 存货：2023年末64.5亿元、2024年末57.3亿元（-11.1%）、2025年末60.9亿元（+6.3%）、2026Q1末55.5亿元（-8.9%）。存货金额较小且波动主要受原油库存和备品备件影响。油气企业存货周转率极高（2025年约65x），不存在滞销风险。2024年末存货下降与油价下行、库存价值下降有关；2025年小幅回升与产量增加和储备增加有关。整体存货质量优良。</w:t>
      </w:r>
    </w:p>
    <w:p>
      <w:pPr>
        <w:spacing w:line="360" w:lineRule="auto" w:after="120"/>
        <w:ind w:firstLine="480"/>
      </w:pPr>
      <w:r>
        <w:rPr>
          <w:rFonts w:ascii="宋体" w:hAnsi="宋体" w:eastAsia="宋体"/>
          <w:b w:val="0"/>
          <w:sz w:val="24"/>
        </w:rPr>
        <w:t>⑤ 流动资产合计：从2023年末2,503亿元增至2024年末2,646亿元（+5.7%），2025年末增至2,954亿元（+11.6%），2026Q1末增至3,429亿元（+16.1%）。流动资产持续增长主要由货币资金驱动，显示公司流动性充裕。流动资产占总资产比例从2023年末24.9%提升至2025年末26.9%，资产结构趋于稳健，但货币资金占比过高可能降低整体资产回报率。</w:t>
      </w:r>
    </w:p>
    <w:p>
      <w:pPr>
        <w:pStyle w:val="Heading2"/>
        <w:spacing w:before="240" w:after="120" w:line="360" w:lineRule="auto"/>
      </w:pPr>
      <w:r>
        <w:rPr>
          <w:rFonts w:ascii="黑体" w:hAnsi="黑体" w:eastAsia="黑体"/>
          <w:b/>
          <w:sz w:val="28"/>
        </w:rPr>
        <w:t>2.2 非流动资产深度分析</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科目</w:t>
            </w:r>
          </w:p>
        </w:tc>
        <w:tc>
          <w:tcPr>
            <w:tcW w:type="dxa" w:w="785"/>
          </w:tcPr>
          <w:p>
            <w:pPr>
              <w:jc w:val="center"/>
            </w:pPr>
            <w:r>
              <w:rPr>
                <w:rFonts w:ascii="黑体" w:hAnsi="黑体" w:eastAsia="黑体"/>
                <w:b/>
                <w:sz w:val="20"/>
              </w:rPr>
              <w:t>2023末</w:t>
            </w:r>
          </w:p>
        </w:tc>
        <w:tc>
          <w:tcPr>
            <w:tcW w:type="dxa" w:w="785"/>
          </w:tcPr>
          <w:p>
            <w:pPr>
              <w:jc w:val="center"/>
            </w:pPr>
            <w:r>
              <w:rPr>
                <w:rFonts w:ascii="黑体" w:hAnsi="黑体" w:eastAsia="黑体"/>
                <w:b/>
                <w:sz w:val="20"/>
              </w:rPr>
              <w:t>2024末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2025末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2026Q1</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长期股权投资</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250.50</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458.20</w:t>
            </w:r>
          </w:p>
        </w:tc>
        <w:tc>
          <w:tcPr>
            <w:tcW w:type="dxa" w:w="785"/>
          </w:tcPr>
          <w:p>
            <w:pPr>
              <w:jc w:val="center"/>
            </w:pPr>
            <w:r>
              <w:rPr>
                <w:rFonts w:ascii="黑体" w:hAnsi="黑体" w:eastAsia="黑体"/>
                <w:b/>
                <w:sz w:val="20"/>
              </w:rPr>
              <w:t>207.70</w:t>
            </w:r>
          </w:p>
        </w:tc>
        <w:tc>
          <w:tcPr>
            <w:tcW w:type="dxa" w:w="785"/>
          </w:tcPr>
          <w:p>
            <w:pPr>
              <w:jc w:val="center"/>
            </w:pPr>
            <w:r>
              <w:rPr>
                <w:rFonts w:ascii="黑体" w:hAnsi="黑体" w:eastAsia="黑体"/>
                <w:b/>
                <w:sz w:val="20"/>
              </w:rPr>
              <w:t>+82.9%</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r>
      <w:tr>
        <w:tc>
          <w:tcPr>
            <w:tcW w:type="dxa" w:w="785"/>
          </w:tcPr>
          <w:p>
            <w:pPr>
              <w:jc w:val="right"/>
            </w:pPr>
            <w:r>
              <w:rPr>
                <w:rFonts w:ascii="宋体" w:hAnsi="宋体" w:eastAsia="宋体"/>
                <w:b w:val="0"/>
                <w:sz w:val="18"/>
              </w:rPr>
              <w:t>其他非流动金融资产</w:t>
            </w:r>
          </w:p>
        </w:tc>
        <w:tc>
          <w:tcPr>
            <w:tcW w:type="dxa" w:w="785"/>
          </w:tcPr>
          <w:p>
            <w:pPr>
              <w:jc w:val="right"/>
            </w:pPr>
            <w:r>
              <w:rPr>
                <w:rFonts w:ascii="宋体" w:hAnsi="宋体" w:eastAsia="宋体"/>
                <w:b w:val="0"/>
                <w:sz w:val="18"/>
              </w:rPr>
              <w:t>42.32</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债权投资</w:t>
            </w:r>
          </w:p>
        </w:tc>
        <w:tc>
          <w:tcPr>
            <w:tcW w:type="dxa" w:w="785"/>
          </w:tcPr>
          <w:p>
            <w:pPr>
              <w:jc w:val="right"/>
            </w:pPr>
            <w:r>
              <w:rPr>
                <w:rFonts w:ascii="宋体" w:hAnsi="宋体" w:eastAsia="宋体"/>
                <w:b w:val="0"/>
                <w:sz w:val="18"/>
              </w:rPr>
              <w:t>82.21</w:t>
            </w:r>
          </w:p>
        </w:tc>
        <w:tc>
          <w:tcPr>
            <w:tcW w:type="dxa" w:w="785"/>
          </w:tcPr>
          <w:p>
            <w:pPr>
              <w:jc w:val="right"/>
            </w:pPr>
            <w:r>
              <w:rPr>
                <w:rFonts w:ascii="宋体" w:hAnsi="宋体" w:eastAsia="宋体"/>
                <w:b w:val="0"/>
                <w:sz w:val="18"/>
              </w:rPr>
              <w:t>85.04</w:t>
            </w:r>
          </w:p>
        </w:tc>
        <w:tc>
          <w:tcPr>
            <w:tcW w:type="dxa" w:w="785"/>
          </w:tcPr>
          <w:p>
            <w:pPr>
              <w:jc w:val="right"/>
            </w:pPr>
            <w:r>
              <w:rPr>
                <w:rFonts w:ascii="宋体" w:hAnsi="宋体" w:eastAsia="宋体"/>
                <w:b w:val="0"/>
                <w:sz w:val="18"/>
              </w:rPr>
              <w:t>2.83</w:t>
            </w:r>
          </w:p>
        </w:tc>
        <w:tc>
          <w:tcPr>
            <w:tcW w:type="dxa" w:w="785"/>
          </w:tcPr>
          <w:p>
            <w:pPr>
              <w:jc w:val="right"/>
            </w:pPr>
            <w:r>
              <w:rPr>
                <w:rFonts w:ascii="宋体" w:hAnsi="宋体" w:eastAsia="宋体"/>
                <w:b w:val="0"/>
                <w:sz w:val="18"/>
              </w:rPr>
              <w:t>+3.4%</w:t>
            </w:r>
          </w:p>
        </w:tc>
        <w:tc>
          <w:tcPr>
            <w:tcW w:type="dxa" w:w="785"/>
          </w:tcPr>
          <w:p>
            <w:pPr>
              <w:jc w:val="right"/>
            </w:pPr>
            <w:r>
              <w:rPr>
                <w:rFonts w:ascii="宋体" w:hAnsi="宋体" w:eastAsia="宋体"/>
                <w:b w:val="0"/>
                <w:sz w:val="18"/>
              </w:rPr>
              <w:t>93.05</w:t>
            </w:r>
          </w:p>
        </w:tc>
        <w:tc>
          <w:tcPr>
            <w:tcW w:type="dxa" w:w="785"/>
          </w:tcPr>
          <w:p>
            <w:pPr>
              <w:jc w:val="right"/>
            </w:pPr>
            <w:r>
              <w:rPr>
                <w:rFonts w:ascii="宋体" w:hAnsi="宋体" w:eastAsia="宋体"/>
                <w:b w:val="0"/>
                <w:sz w:val="18"/>
              </w:rPr>
              <w:t>8.01</w:t>
            </w:r>
          </w:p>
        </w:tc>
        <w:tc>
          <w:tcPr>
            <w:tcW w:type="dxa" w:w="785"/>
          </w:tcPr>
          <w:p>
            <w:pPr>
              <w:jc w:val="right"/>
            </w:pPr>
            <w:r>
              <w:rPr>
                <w:rFonts w:ascii="宋体" w:hAnsi="宋体" w:eastAsia="宋体"/>
                <w:b w:val="0"/>
                <w:sz w:val="18"/>
              </w:rPr>
              <w:t>+9.4%</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投资性房地产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固定资产</w:t>
            </w:r>
          </w:p>
        </w:tc>
        <w:tc>
          <w:tcPr>
            <w:tcW w:type="dxa" w:w="785"/>
          </w:tcPr>
          <w:p>
            <w:pPr>
              <w:jc w:val="right"/>
            </w:pPr>
            <w:r>
              <w:rPr>
                <w:rFonts w:ascii="宋体" w:hAnsi="宋体" w:eastAsia="宋体"/>
                <w:b w:val="0"/>
                <w:sz w:val="18"/>
              </w:rPr>
              <w:t>70.10</w:t>
            </w:r>
          </w:p>
        </w:tc>
        <w:tc>
          <w:tcPr>
            <w:tcW w:type="dxa" w:w="785"/>
          </w:tcPr>
          <w:p>
            <w:pPr>
              <w:jc w:val="right"/>
            </w:pPr>
            <w:r>
              <w:rPr>
                <w:rFonts w:ascii="宋体" w:hAnsi="宋体" w:eastAsia="宋体"/>
                <w:b w:val="0"/>
                <w:sz w:val="18"/>
              </w:rPr>
              <w:t>67.39</w:t>
            </w:r>
          </w:p>
        </w:tc>
        <w:tc>
          <w:tcPr>
            <w:tcW w:type="dxa" w:w="785"/>
          </w:tcPr>
          <w:p>
            <w:pPr>
              <w:jc w:val="right"/>
            </w:pPr>
            <w:r>
              <w:rPr>
                <w:rFonts w:ascii="宋体" w:hAnsi="宋体" w:eastAsia="宋体"/>
                <w:b w:val="0"/>
                <w:sz w:val="18"/>
              </w:rPr>
              <w:t>-2.71</w:t>
            </w:r>
          </w:p>
        </w:tc>
        <w:tc>
          <w:tcPr>
            <w:tcW w:type="dxa" w:w="785"/>
          </w:tcPr>
          <w:p>
            <w:pPr>
              <w:jc w:val="right"/>
            </w:pPr>
            <w:r>
              <w:rPr>
                <w:rFonts w:ascii="宋体" w:hAnsi="宋体" w:eastAsia="宋体"/>
                <w:b w:val="0"/>
                <w:sz w:val="18"/>
              </w:rPr>
              <w:t>-3.9%</w:t>
            </w:r>
          </w:p>
        </w:tc>
        <w:tc>
          <w:tcPr>
            <w:tcW w:type="dxa" w:w="785"/>
          </w:tcPr>
          <w:p>
            <w:pPr>
              <w:jc w:val="right"/>
            </w:pPr>
            <w:r>
              <w:rPr>
                <w:rFonts w:ascii="宋体" w:hAnsi="宋体" w:eastAsia="宋体"/>
                <w:b w:val="0"/>
                <w:sz w:val="18"/>
              </w:rPr>
              <w:t>65.52</w:t>
            </w:r>
          </w:p>
        </w:tc>
        <w:tc>
          <w:tcPr>
            <w:tcW w:type="dxa" w:w="785"/>
          </w:tcPr>
          <w:p>
            <w:pPr>
              <w:jc w:val="right"/>
            </w:pPr>
            <w:r>
              <w:rPr>
                <w:rFonts w:ascii="宋体" w:hAnsi="宋体" w:eastAsia="宋体"/>
                <w:b w:val="0"/>
                <w:sz w:val="18"/>
              </w:rPr>
              <w:t>-1.87</w:t>
            </w:r>
          </w:p>
        </w:tc>
        <w:tc>
          <w:tcPr>
            <w:tcW w:type="dxa" w:w="785"/>
          </w:tcPr>
          <w:p>
            <w:pPr>
              <w:jc w:val="right"/>
            </w:pPr>
            <w:r>
              <w:rPr>
                <w:rFonts w:ascii="宋体" w:hAnsi="宋体" w:eastAsia="宋体"/>
                <w:b w:val="0"/>
                <w:sz w:val="18"/>
              </w:rPr>
              <w:t>-2.8%</w:t>
            </w:r>
          </w:p>
        </w:tc>
        <w:tc>
          <w:tcPr>
            <w:tcW w:type="dxa" w:w="785"/>
          </w:tcPr>
          <w:p>
            <w:pPr>
              <w:jc w:val="right"/>
            </w:pPr>
            <w:r>
              <w:rPr>
                <w:rFonts w:ascii="宋体" w:hAnsi="宋体" w:eastAsia="宋体"/>
                <w:b w:val="0"/>
                <w:sz w:val="18"/>
              </w:rPr>
              <w:t>64.14</w:t>
            </w:r>
          </w:p>
        </w:tc>
        <w:tc>
          <w:tcPr>
            <w:tcW w:type="dxa" w:w="785"/>
          </w:tcPr>
          <w:p>
            <w:pPr>
              <w:jc w:val="right"/>
            </w:pPr>
            <w:r>
              <w:rPr>
                <w:rFonts w:ascii="宋体" w:hAnsi="宋体" w:eastAsia="宋体"/>
                <w:b w:val="0"/>
                <w:sz w:val="18"/>
              </w:rPr>
              <w:t>-1.38</w:t>
            </w:r>
          </w:p>
        </w:tc>
        <w:tc>
          <w:tcPr>
            <w:tcW w:type="dxa" w:w="785"/>
          </w:tcPr>
          <w:p>
            <w:pPr>
              <w:jc w:val="right"/>
            </w:pPr>
            <w:r>
              <w:rPr>
                <w:rFonts w:ascii="宋体" w:hAnsi="宋体" w:eastAsia="宋体"/>
                <w:b w:val="0"/>
                <w:sz w:val="18"/>
              </w:rPr>
              <w:t>-2.1%</w:t>
            </w:r>
          </w:p>
        </w:tc>
      </w:tr>
      <w:tr>
        <w:tc>
          <w:tcPr>
            <w:tcW w:type="dxa" w:w="785"/>
          </w:tcPr>
          <w:p>
            <w:pPr>
              <w:jc w:val="right"/>
            </w:pPr>
            <w:r>
              <w:rPr>
                <w:rFonts w:ascii="宋体" w:hAnsi="宋体" w:eastAsia="宋体"/>
                <w:b w:val="0"/>
                <w:sz w:val="18"/>
              </w:rPr>
              <w:t>油气资产</w:t>
            </w:r>
          </w:p>
        </w:tc>
        <w:tc>
          <w:tcPr>
            <w:tcW w:type="dxa" w:w="785"/>
          </w:tcPr>
          <w:p>
            <w:pPr>
              <w:jc w:val="right"/>
            </w:pPr>
            <w:r>
              <w:rPr>
                <w:rFonts w:ascii="宋体" w:hAnsi="宋体" w:eastAsia="宋体"/>
                <w:b w:val="0"/>
                <w:sz w:val="18"/>
              </w:rPr>
              <w:t>5,929.00</w:t>
            </w:r>
          </w:p>
        </w:tc>
        <w:tc>
          <w:tcPr>
            <w:tcW w:type="dxa" w:w="785"/>
          </w:tcPr>
          <w:p>
            <w:pPr>
              <w:jc w:val="right"/>
            </w:pPr>
            <w:r>
              <w:rPr>
                <w:rFonts w:ascii="宋体" w:hAnsi="宋体" w:eastAsia="宋体"/>
                <w:b w:val="0"/>
                <w:sz w:val="18"/>
              </w:rPr>
              <w:t>6,324.00</w:t>
            </w:r>
          </w:p>
        </w:tc>
        <w:tc>
          <w:tcPr>
            <w:tcW w:type="dxa" w:w="785"/>
          </w:tcPr>
          <w:p>
            <w:pPr>
              <w:jc w:val="right"/>
            </w:pPr>
            <w:r>
              <w:rPr>
                <w:rFonts w:ascii="宋体" w:hAnsi="宋体" w:eastAsia="宋体"/>
                <w:b w:val="0"/>
                <w:sz w:val="18"/>
              </w:rPr>
              <w:t>395.00</w:t>
            </w:r>
          </w:p>
        </w:tc>
        <w:tc>
          <w:tcPr>
            <w:tcW w:type="dxa" w:w="785"/>
          </w:tcPr>
          <w:p>
            <w:pPr>
              <w:jc w:val="right"/>
            </w:pPr>
            <w:r>
              <w:rPr>
                <w:rFonts w:ascii="宋体" w:hAnsi="宋体" w:eastAsia="宋体"/>
                <w:b w:val="0"/>
                <w:sz w:val="18"/>
              </w:rPr>
              <w:t>+6.7%</w:t>
            </w:r>
          </w:p>
        </w:tc>
        <w:tc>
          <w:tcPr>
            <w:tcW w:type="dxa" w:w="785"/>
          </w:tcPr>
          <w:p>
            <w:pPr>
              <w:jc w:val="right"/>
            </w:pPr>
            <w:r>
              <w:rPr>
                <w:rFonts w:ascii="宋体" w:hAnsi="宋体" w:eastAsia="宋体"/>
                <w:b w:val="0"/>
                <w:sz w:val="18"/>
              </w:rPr>
              <w:t>5,089.00</w:t>
            </w:r>
          </w:p>
        </w:tc>
        <w:tc>
          <w:tcPr>
            <w:tcW w:type="dxa" w:w="785"/>
          </w:tcPr>
          <w:p>
            <w:pPr>
              <w:jc w:val="right"/>
            </w:pPr>
            <w:r>
              <w:rPr>
                <w:rFonts w:ascii="宋体" w:hAnsi="宋体" w:eastAsia="宋体"/>
                <w:b w:val="0"/>
                <w:sz w:val="18"/>
              </w:rPr>
              <w:t>-1,235.00</w:t>
            </w:r>
          </w:p>
        </w:tc>
        <w:tc>
          <w:tcPr>
            <w:tcW w:type="dxa" w:w="785"/>
          </w:tcPr>
          <w:p>
            <w:pPr>
              <w:jc w:val="right"/>
            </w:pPr>
            <w:r>
              <w:rPr>
                <w:rFonts w:ascii="宋体" w:hAnsi="宋体" w:eastAsia="宋体"/>
                <w:b w:val="0"/>
                <w:sz w:val="18"/>
              </w:rPr>
              <w:t>-19.5%</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在建工程</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21.89</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1,509.00</w:t>
            </w:r>
          </w:p>
        </w:tc>
        <w:tc>
          <w:tcPr>
            <w:tcW w:type="dxa" w:w="785"/>
          </w:tcPr>
          <w:p>
            <w:pPr>
              <w:jc w:val="right"/>
            </w:pPr>
            <w:r>
              <w:rPr>
                <w:rFonts w:ascii="宋体" w:hAnsi="宋体" w:eastAsia="宋体"/>
                <w:b w:val="0"/>
                <w:sz w:val="18"/>
              </w:rPr>
              <w:t>1,487.11</w:t>
            </w:r>
          </w:p>
        </w:tc>
        <w:tc>
          <w:tcPr>
            <w:tcW w:type="dxa" w:w="785"/>
          </w:tcPr>
          <w:p>
            <w:pPr>
              <w:jc w:val="right"/>
            </w:pPr>
            <w:r>
              <w:rPr>
                <w:rFonts w:ascii="宋体" w:hAnsi="宋体" w:eastAsia="宋体"/>
                <w:b w:val="0"/>
                <w:sz w:val="18"/>
              </w:rPr>
              <w:t>+6793.6%</w:t>
            </w:r>
          </w:p>
        </w:tc>
        <w:tc>
          <w:tcPr>
            <w:tcW w:type="dxa" w:w="785"/>
          </w:tcPr>
          <w:p>
            <w:pPr>
              <w:jc w:val="right"/>
            </w:pPr>
            <w:r>
              <w:rPr>
                <w:rFonts w:ascii="宋体" w:hAnsi="宋体" w:eastAsia="宋体"/>
                <w:b w:val="0"/>
                <w:sz w:val="18"/>
              </w:rPr>
              <w:t>1,565.88</w:t>
            </w:r>
          </w:p>
        </w:tc>
        <w:tc>
          <w:tcPr>
            <w:tcW w:type="dxa" w:w="785"/>
          </w:tcPr>
          <w:p>
            <w:pPr>
              <w:jc w:val="right"/>
            </w:pPr>
            <w:r>
              <w:rPr>
                <w:rFonts w:ascii="宋体" w:hAnsi="宋体" w:eastAsia="宋体"/>
                <w:b w:val="0"/>
                <w:sz w:val="18"/>
              </w:rPr>
              <w:t>56.88</w:t>
            </w:r>
          </w:p>
        </w:tc>
        <w:tc>
          <w:tcPr>
            <w:tcW w:type="dxa" w:w="785"/>
          </w:tcPr>
          <w:p>
            <w:pPr>
              <w:jc w:val="right"/>
            </w:pPr>
            <w:r>
              <w:rPr>
                <w:rFonts w:ascii="宋体" w:hAnsi="宋体" w:eastAsia="宋体"/>
                <w:b w:val="0"/>
                <w:sz w:val="18"/>
              </w:rPr>
              <w:t>+3.8%</w:t>
            </w:r>
          </w:p>
        </w:tc>
      </w:tr>
      <w:tr>
        <w:tc>
          <w:tcPr>
            <w:tcW w:type="dxa" w:w="785"/>
          </w:tcPr>
          <w:p>
            <w:pPr>
              <w:jc w:val="right"/>
            </w:pPr>
            <w:r>
              <w:rPr>
                <w:rFonts w:ascii="宋体" w:hAnsi="宋体" w:eastAsia="宋体"/>
                <w:b w:val="0"/>
                <w:sz w:val="18"/>
              </w:rPr>
              <w:t>使用权资产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无形资产</w:t>
            </w:r>
          </w:p>
        </w:tc>
        <w:tc>
          <w:tcPr>
            <w:tcW w:type="dxa" w:w="785"/>
          </w:tcPr>
          <w:p>
            <w:pPr>
              <w:jc w:val="right"/>
            </w:pPr>
            <w:r>
              <w:rPr>
                <w:rFonts w:ascii="宋体" w:hAnsi="宋体" w:eastAsia="宋体"/>
                <w:b w:val="0"/>
                <w:sz w:val="18"/>
              </w:rPr>
              <w:t>167.70</w:t>
            </w:r>
          </w:p>
        </w:tc>
        <w:tc>
          <w:tcPr>
            <w:tcW w:type="dxa" w:w="785"/>
          </w:tcPr>
          <w:p>
            <w:pPr>
              <w:jc w:val="right"/>
            </w:pPr>
            <w:r>
              <w:rPr>
                <w:rFonts w:ascii="宋体" w:hAnsi="宋体" w:eastAsia="宋体"/>
                <w:b w:val="0"/>
                <w:sz w:val="18"/>
              </w:rPr>
              <w:t>169.60</w:t>
            </w:r>
          </w:p>
        </w:tc>
        <w:tc>
          <w:tcPr>
            <w:tcW w:type="dxa" w:w="785"/>
          </w:tcPr>
          <w:p>
            <w:pPr>
              <w:jc w:val="right"/>
            </w:pPr>
            <w:r>
              <w:rPr>
                <w:rFonts w:ascii="宋体" w:hAnsi="宋体" w:eastAsia="宋体"/>
                <w:b w:val="0"/>
                <w:sz w:val="18"/>
              </w:rPr>
              <w:t>1.90</w:t>
            </w:r>
          </w:p>
        </w:tc>
        <w:tc>
          <w:tcPr>
            <w:tcW w:type="dxa" w:w="785"/>
          </w:tcPr>
          <w:p>
            <w:pPr>
              <w:jc w:val="right"/>
            </w:pPr>
            <w:r>
              <w:rPr>
                <w:rFonts w:ascii="宋体" w:hAnsi="宋体" w:eastAsia="宋体"/>
                <w:b w:val="0"/>
                <w:sz w:val="18"/>
              </w:rPr>
              <w:t>+1.1%</w:t>
            </w:r>
          </w:p>
        </w:tc>
        <w:tc>
          <w:tcPr>
            <w:tcW w:type="dxa" w:w="785"/>
          </w:tcPr>
          <w:p>
            <w:pPr>
              <w:jc w:val="right"/>
            </w:pPr>
            <w:r>
              <w:rPr>
                <w:rFonts w:ascii="宋体" w:hAnsi="宋体" w:eastAsia="宋体"/>
                <w:b w:val="0"/>
                <w:sz w:val="18"/>
              </w:rPr>
              <w:t>36.83</w:t>
            </w:r>
          </w:p>
        </w:tc>
        <w:tc>
          <w:tcPr>
            <w:tcW w:type="dxa" w:w="785"/>
          </w:tcPr>
          <w:p>
            <w:pPr>
              <w:jc w:val="right"/>
            </w:pPr>
            <w:r>
              <w:rPr>
                <w:rFonts w:ascii="宋体" w:hAnsi="宋体" w:eastAsia="宋体"/>
                <w:b w:val="0"/>
                <w:sz w:val="18"/>
              </w:rPr>
              <w:t>-132.77</w:t>
            </w:r>
          </w:p>
        </w:tc>
        <w:tc>
          <w:tcPr>
            <w:tcW w:type="dxa" w:w="785"/>
          </w:tcPr>
          <w:p>
            <w:pPr>
              <w:jc w:val="right"/>
            </w:pPr>
            <w:r>
              <w:rPr>
                <w:rFonts w:ascii="宋体" w:hAnsi="宋体" w:eastAsia="宋体"/>
                <w:b w:val="0"/>
                <w:sz w:val="18"/>
              </w:rPr>
              <w:t>-78.3%</w:t>
            </w:r>
          </w:p>
        </w:tc>
        <w:tc>
          <w:tcPr>
            <w:tcW w:type="dxa" w:w="785"/>
          </w:tcPr>
          <w:p>
            <w:pPr>
              <w:jc w:val="right"/>
            </w:pPr>
            <w:r>
              <w:rPr>
                <w:rFonts w:ascii="宋体" w:hAnsi="宋体" w:eastAsia="宋体"/>
                <w:b w:val="0"/>
                <w:sz w:val="18"/>
              </w:rPr>
              <w:t>35.22</w:t>
            </w:r>
          </w:p>
        </w:tc>
        <w:tc>
          <w:tcPr>
            <w:tcW w:type="dxa" w:w="785"/>
          </w:tcPr>
          <w:p>
            <w:pPr>
              <w:jc w:val="right"/>
            </w:pPr>
            <w:r>
              <w:rPr>
                <w:rFonts w:ascii="宋体" w:hAnsi="宋体" w:eastAsia="宋体"/>
                <w:b w:val="0"/>
                <w:sz w:val="18"/>
              </w:rPr>
              <w:t>-1.61</w:t>
            </w:r>
          </w:p>
        </w:tc>
        <w:tc>
          <w:tcPr>
            <w:tcW w:type="dxa" w:w="785"/>
          </w:tcPr>
          <w:p>
            <w:pPr>
              <w:jc w:val="right"/>
            </w:pPr>
            <w:r>
              <w:rPr>
                <w:rFonts w:ascii="宋体" w:hAnsi="宋体" w:eastAsia="宋体"/>
                <w:b w:val="0"/>
                <w:sz w:val="18"/>
              </w:rPr>
              <w:t>-4.4%</w:t>
            </w:r>
          </w:p>
        </w:tc>
      </w:tr>
      <w:tr>
        <w:tc>
          <w:tcPr>
            <w:tcW w:type="dxa" w:w="785"/>
          </w:tcPr>
          <w:p>
            <w:pPr>
              <w:jc w:val="right"/>
            </w:pPr>
            <w:r>
              <w:rPr>
                <w:rFonts w:ascii="宋体" w:hAnsi="宋体" w:eastAsia="宋体"/>
                <w:b w:val="0"/>
                <w:sz w:val="18"/>
              </w:rPr>
              <w:t>商誉</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165.10</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149.50</w:t>
            </w:r>
          </w:p>
        </w:tc>
        <w:tc>
          <w:tcPr>
            <w:tcW w:type="dxa" w:w="785"/>
          </w:tcPr>
          <w:p>
            <w:pPr>
              <w:jc w:val="right"/>
            </w:pPr>
            <w:r>
              <w:rPr>
                <w:rFonts w:ascii="宋体" w:hAnsi="宋体" w:eastAsia="宋体"/>
                <w:b w:val="0"/>
                <w:sz w:val="18"/>
              </w:rPr>
              <w:t>-15.60</w:t>
            </w:r>
          </w:p>
        </w:tc>
        <w:tc>
          <w:tcPr>
            <w:tcW w:type="dxa" w:w="785"/>
          </w:tcPr>
          <w:p>
            <w:pPr>
              <w:jc w:val="right"/>
            </w:pPr>
            <w:r>
              <w:rPr>
                <w:rFonts w:ascii="宋体" w:hAnsi="宋体" w:eastAsia="宋体"/>
                <w:b w:val="0"/>
                <w:sz w:val="18"/>
              </w:rPr>
              <w:t>-9.4%</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长期待摊费用</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7.18</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5.84</w:t>
            </w:r>
          </w:p>
        </w:tc>
        <w:tc>
          <w:tcPr>
            <w:tcW w:type="dxa" w:w="785"/>
          </w:tcPr>
          <w:p>
            <w:pPr>
              <w:jc w:val="right"/>
            </w:pPr>
            <w:r>
              <w:rPr>
                <w:rFonts w:ascii="宋体" w:hAnsi="宋体" w:eastAsia="宋体"/>
                <w:b w:val="0"/>
                <w:sz w:val="18"/>
              </w:rPr>
              <w:t>-1.34</w:t>
            </w:r>
          </w:p>
        </w:tc>
        <w:tc>
          <w:tcPr>
            <w:tcW w:type="dxa" w:w="785"/>
          </w:tcPr>
          <w:p>
            <w:pPr>
              <w:jc w:val="right"/>
            </w:pPr>
            <w:r>
              <w:rPr>
                <w:rFonts w:ascii="宋体" w:hAnsi="宋体" w:eastAsia="宋体"/>
                <w:b w:val="0"/>
                <w:sz w:val="18"/>
              </w:rPr>
              <w:t>-18.7%</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递延所得税资产</w:t>
            </w:r>
          </w:p>
        </w:tc>
        <w:tc>
          <w:tcPr>
            <w:tcW w:type="dxa" w:w="785"/>
          </w:tcPr>
          <w:p>
            <w:pPr>
              <w:jc w:val="right"/>
            </w:pPr>
            <w:r>
              <w:rPr>
                <w:rFonts w:ascii="宋体" w:hAnsi="宋体" w:eastAsia="宋体"/>
                <w:b w:val="0"/>
                <w:sz w:val="18"/>
              </w:rPr>
              <w:t>285.60</w:t>
            </w:r>
          </w:p>
        </w:tc>
        <w:tc>
          <w:tcPr>
            <w:tcW w:type="dxa" w:w="785"/>
          </w:tcPr>
          <w:p>
            <w:pPr>
              <w:jc w:val="right"/>
            </w:pPr>
            <w:r>
              <w:rPr>
                <w:rFonts w:ascii="宋体" w:hAnsi="宋体" w:eastAsia="宋体"/>
                <w:b w:val="0"/>
                <w:sz w:val="18"/>
              </w:rPr>
              <w:t>254.70</w:t>
            </w:r>
          </w:p>
        </w:tc>
        <w:tc>
          <w:tcPr>
            <w:tcW w:type="dxa" w:w="785"/>
          </w:tcPr>
          <w:p>
            <w:pPr>
              <w:jc w:val="right"/>
            </w:pPr>
            <w:r>
              <w:rPr>
                <w:rFonts w:ascii="宋体" w:hAnsi="宋体" w:eastAsia="宋体"/>
                <w:b w:val="0"/>
                <w:sz w:val="18"/>
              </w:rPr>
              <w:t>-30.90</w:t>
            </w:r>
          </w:p>
        </w:tc>
        <w:tc>
          <w:tcPr>
            <w:tcW w:type="dxa" w:w="785"/>
          </w:tcPr>
          <w:p>
            <w:pPr>
              <w:jc w:val="right"/>
            </w:pPr>
            <w:r>
              <w:rPr>
                <w:rFonts w:ascii="宋体" w:hAnsi="宋体" w:eastAsia="宋体"/>
                <w:b w:val="0"/>
                <w:sz w:val="18"/>
              </w:rPr>
              <w:t>-10.8%</w:t>
            </w:r>
          </w:p>
        </w:tc>
        <w:tc>
          <w:tcPr>
            <w:tcW w:type="dxa" w:w="785"/>
          </w:tcPr>
          <w:p>
            <w:pPr>
              <w:jc w:val="right"/>
            </w:pPr>
            <w:r>
              <w:rPr>
                <w:rFonts w:ascii="宋体" w:hAnsi="宋体" w:eastAsia="宋体"/>
                <w:b w:val="0"/>
                <w:sz w:val="18"/>
              </w:rPr>
              <w:t>235.80</w:t>
            </w:r>
          </w:p>
        </w:tc>
        <w:tc>
          <w:tcPr>
            <w:tcW w:type="dxa" w:w="785"/>
          </w:tcPr>
          <w:p>
            <w:pPr>
              <w:jc w:val="right"/>
            </w:pPr>
            <w:r>
              <w:rPr>
                <w:rFonts w:ascii="宋体" w:hAnsi="宋体" w:eastAsia="宋体"/>
                <w:b w:val="0"/>
                <w:sz w:val="18"/>
              </w:rPr>
              <w:t>-18.90</w:t>
            </w:r>
          </w:p>
        </w:tc>
        <w:tc>
          <w:tcPr>
            <w:tcW w:type="dxa" w:w="785"/>
          </w:tcPr>
          <w:p>
            <w:pPr>
              <w:jc w:val="right"/>
            </w:pPr>
            <w:r>
              <w:rPr>
                <w:rFonts w:ascii="宋体" w:hAnsi="宋体" w:eastAsia="宋体"/>
                <w:b w:val="0"/>
                <w:sz w:val="18"/>
              </w:rPr>
              <w:t>-7.4%</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其他非流动资产</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非流动资产合计</w:t>
            </w:r>
          </w:p>
        </w:tc>
        <w:tc>
          <w:tcPr>
            <w:tcW w:type="dxa" w:w="785"/>
          </w:tcPr>
          <w:p>
            <w:pPr>
              <w:jc w:val="right"/>
            </w:pPr>
            <w:r>
              <w:rPr>
                <w:rFonts w:ascii="宋体" w:hAnsi="宋体" w:eastAsia="宋体"/>
                <w:b w:val="0"/>
                <w:sz w:val="18"/>
              </w:rPr>
              <w:t>7,553.00</w:t>
            </w:r>
          </w:p>
        </w:tc>
        <w:tc>
          <w:tcPr>
            <w:tcW w:type="dxa" w:w="785"/>
          </w:tcPr>
          <w:p>
            <w:pPr>
              <w:jc w:val="right"/>
            </w:pPr>
            <w:r>
              <w:rPr>
                <w:rFonts w:ascii="宋体" w:hAnsi="宋体" w:eastAsia="宋体"/>
                <w:b w:val="0"/>
                <w:sz w:val="18"/>
              </w:rPr>
              <w:t>7,917.00</w:t>
            </w:r>
          </w:p>
        </w:tc>
        <w:tc>
          <w:tcPr>
            <w:tcW w:type="dxa" w:w="785"/>
          </w:tcPr>
          <w:p>
            <w:pPr>
              <w:jc w:val="right"/>
            </w:pPr>
            <w:r>
              <w:rPr>
                <w:rFonts w:ascii="宋体" w:hAnsi="宋体" w:eastAsia="宋体"/>
                <w:b w:val="0"/>
                <w:sz w:val="18"/>
              </w:rPr>
              <w:t>364.00</w:t>
            </w:r>
          </w:p>
        </w:tc>
        <w:tc>
          <w:tcPr>
            <w:tcW w:type="dxa" w:w="785"/>
          </w:tcPr>
          <w:p>
            <w:pPr>
              <w:jc w:val="right"/>
            </w:pPr>
            <w:r>
              <w:rPr>
                <w:rFonts w:ascii="宋体" w:hAnsi="宋体" w:eastAsia="宋体"/>
                <w:b w:val="0"/>
                <w:sz w:val="18"/>
              </w:rPr>
              <w:t>+4.8%</w:t>
            </w:r>
          </w:p>
        </w:tc>
        <w:tc>
          <w:tcPr>
            <w:tcW w:type="dxa" w:w="785"/>
          </w:tcPr>
          <w:p>
            <w:pPr>
              <w:jc w:val="right"/>
            </w:pPr>
            <w:r>
              <w:rPr>
                <w:rFonts w:ascii="宋体" w:hAnsi="宋体" w:eastAsia="宋体"/>
                <w:b w:val="0"/>
                <w:sz w:val="18"/>
              </w:rPr>
              <w:t>8,032.00</w:t>
            </w:r>
          </w:p>
        </w:tc>
        <w:tc>
          <w:tcPr>
            <w:tcW w:type="dxa" w:w="785"/>
          </w:tcPr>
          <w:p>
            <w:pPr>
              <w:jc w:val="right"/>
            </w:pPr>
            <w:r>
              <w:rPr>
                <w:rFonts w:ascii="宋体" w:hAnsi="宋体" w:eastAsia="宋体"/>
                <w:b w:val="0"/>
                <w:sz w:val="18"/>
              </w:rPr>
              <w:t>115.00</w:t>
            </w:r>
          </w:p>
        </w:tc>
        <w:tc>
          <w:tcPr>
            <w:tcW w:type="dxa" w:w="785"/>
          </w:tcPr>
          <w:p>
            <w:pPr>
              <w:jc w:val="right"/>
            </w:pPr>
            <w:r>
              <w:rPr>
                <w:rFonts w:ascii="宋体" w:hAnsi="宋体" w:eastAsia="宋体"/>
                <w:b w:val="0"/>
                <w:sz w:val="18"/>
              </w:rPr>
              <w:t>+1.5%</w:t>
            </w:r>
          </w:p>
        </w:tc>
        <w:tc>
          <w:tcPr>
            <w:tcW w:type="dxa" w:w="785"/>
          </w:tcPr>
          <w:p>
            <w:pPr>
              <w:jc w:val="right"/>
            </w:pPr>
            <w:r>
              <w:rPr>
                <w:rFonts w:ascii="宋体" w:hAnsi="宋体" w:eastAsia="宋体"/>
                <w:b w:val="0"/>
                <w:sz w:val="18"/>
              </w:rPr>
              <w:t>8,108.31</w:t>
            </w:r>
          </w:p>
        </w:tc>
        <w:tc>
          <w:tcPr>
            <w:tcW w:type="dxa" w:w="785"/>
          </w:tcPr>
          <w:p>
            <w:pPr>
              <w:jc w:val="right"/>
            </w:pPr>
            <w:r>
              <w:rPr>
                <w:rFonts w:ascii="宋体" w:hAnsi="宋体" w:eastAsia="宋体"/>
                <w:b w:val="0"/>
                <w:sz w:val="18"/>
              </w:rPr>
              <w:t>76.31</w:t>
            </w:r>
          </w:p>
        </w:tc>
        <w:tc>
          <w:tcPr>
            <w:tcW w:type="dxa" w:w="785"/>
          </w:tcPr>
          <w:p>
            <w:pPr>
              <w:jc w:val="right"/>
            </w:pPr>
            <w:r>
              <w:rPr>
                <w:rFonts w:ascii="宋体" w:hAnsi="宋体" w:eastAsia="宋体"/>
                <w:b w:val="0"/>
                <w:sz w:val="18"/>
              </w:rPr>
              <w:t>+1.0%</w:t>
            </w:r>
          </w:p>
        </w:tc>
      </w:tr>
    </w:tbl>
    <w:p/>
    <w:p>
      <w:pPr>
        <w:spacing w:line="360" w:lineRule="auto" w:after="120"/>
        <w:ind w:firstLine="0"/>
      </w:pPr>
      <w:r>
        <w:rPr>
          <w:rFonts w:ascii="宋体" w:hAnsi="宋体" w:eastAsia="宋体"/>
          <w:b/>
          <w:sz w:val="24"/>
        </w:rPr>
        <w:t>非流动资产分析：</w:t>
      </w:r>
    </w:p>
    <w:p>
      <w:pPr>
        <w:spacing w:line="360" w:lineRule="auto" w:after="120"/>
        <w:ind w:firstLine="480"/>
      </w:pPr>
      <w:r>
        <w:rPr>
          <w:rFonts w:ascii="宋体" w:hAnsi="宋体" w:eastAsia="宋体"/>
          <w:b w:val="0"/>
          <w:sz w:val="24"/>
        </w:rPr>
        <w:t>① 油气资产：作为油气生产企业的核心资产，油气资产从2023年末5,929亿元增至2024年末6,324亿元（+6.7%），但2025年末降至5,089亿元（-19.5%）。这一大幅下降并非产能收缩，而是会计准则下折旧折耗、储量重估以及部分资产转固/重分类的综合结果。2025年油气净产量同比增长7.0%至7.77亿桶油当量，但布伦特油价同比下跌14.6%，导致单位储量价值下降、折耗增加。2026Q1油气资产进一步变化需待中报披露。油气资产是利润生成的核心载体，其减值风险与油价高度相关：若油价长期低于50美元/桶，可能触发大规模减值测试。当前油价75-80美元区间，减值风险可控。</w:t>
      </w:r>
    </w:p>
    <w:p>
      <w:pPr>
        <w:spacing w:line="360" w:lineRule="auto" w:after="120"/>
        <w:ind w:firstLine="480"/>
      </w:pPr>
      <w:r>
        <w:rPr>
          <w:rFonts w:ascii="宋体" w:hAnsi="宋体" w:eastAsia="宋体"/>
          <w:b w:val="0"/>
          <w:sz w:val="24"/>
        </w:rPr>
        <w:t>② 固定资产：2023年末70.1亿元、2024年末67.4亿元、2025年末65.5亿元、2026Q1末64.1亿元，持续小幅下降。此处固定资产科目主要是除油气资产外的陆地设施、船舶等辅助资产，金额相对油气资产很小。固定资产周转率2025年约59.9x，显示资产使用效率极高。需关注的是，油气资产与固定资产的划分口径变化可能影响比较，但总体上公司固定资产利用率处于行业优秀水平。</w:t>
      </w:r>
    </w:p>
    <w:p>
      <w:pPr>
        <w:spacing w:line="360" w:lineRule="auto" w:after="120"/>
        <w:ind w:firstLine="480"/>
      </w:pPr>
      <w:r>
        <w:rPr>
          <w:rFonts w:ascii="宋体" w:hAnsi="宋体" w:eastAsia="宋体"/>
          <w:b w:val="0"/>
          <w:sz w:val="24"/>
        </w:rPr>
        <w:t>③ 在建工程：2024年末仅21.9亿元，2025年末激增至1,509亿元（+6,794%），2026Q1末进一步增至1,565.9亿元（+3.8%）。这一巨大变化反映2025年多个大型油气田开发项目（如渤中19-6气田二期、渤中26-6油田二期、开平11-4油田等）集中进入建设期，尚未转固。2025年资本开支1,205亿元，2026年预算1,120-1,220亿元，高资本开支周期持续。在建工程长期不转固可能涉及利息资本化，但公司项目周期通常2-4年，当前增速符合增储上产战略。需跟踪未来2年转固节奏及对应折旧增加对利润的侵蚀。</w:t>
      </w:r>
    </w:p>
    <w:p>
      <w:pPr>
        <w:spacing w:line="360" w:lineRule="auto" w:after="120"/>
        <w:ind w:firstLine="480"/>
      </w:pPr>
      <w:r>
        <w:rPr>
          <w:rFonts w:ascii="宋体" w:hAnsi="宋体" w:eastAsia="宋体"/>
          <w:b w:val="0"/>
          <w:sz w:val="24"/>
        </w:rPr>
        <w:t>④ 无形资产：从2023年末167.7亿元降至2024年末169.6亿元（基本持平），2025年末大幅降至36.8亿元（-78.3%）。该科目主要包含土地使用权、软件、专利等，2025年大幅下降可能因重分类或摊销所致，需结合年报附注进一步核实。相对于总资产规模，无形资产占比很小，不构成主要风险。</w:t>
      </w:r>
    </w:p>
    <w:p>
      <w:pPr>
        <w:spacing w:line="360" w:lineRule="auto" w:after="120"/>
        <w:ind w:firstLine="480"/>
      </w:pPr>
      <w:r>
        <w:rPr>
          <w:rFonts w:ascii="宋体" w:hAnsi="宋体" w:eastAsia="宋体"/>
          <w:b w:val="0"/>
          <w:sz w:val="24"/>
        </w:rPr>
        <w:t>⑤ 商誉：2024年末165.1亿元、2025年末149.5亿元（-9.5%）。商誉主要来源于历史上的海外并购（如Nexen收购等）。商誉占净资产比例约1.9%，远低于30%的警戒线，减值风险可控。但需关注海外资产在油价下跌或制裁风险下的减值测试。</w:t>
      </w:r>
    </w:p>
    <w:p>
      <w:pPr>
        <w:spacing w:line="360" w:lineRule="auto" w:after="120"/>
        <w:ind w:firstLine="480"/>
      </w:pPr>
      <w:r>
        <w:rPr>
          <w:rFonts w:ascii="宋体" w:hAnsi="宋体" w:eastAsia="宋体"/>
          <w:b w:val="0"/>
          <w:sz w:val="24"/>
        </w:rPr>
        <w:t>⑥ 递延所得税资产：从2023年末285.6亿元降至2024年末254.7亿元（-10.8%），2025年末降至235.8亿元（-7.4%）。递延所得税资产主要来源于资产减值、折旧差异、弃置拨备等可抵扣暂时性差异。持续下降可能反映部分暂时性差异转回或盈利能力增强导致可抵扣空间减少。结合公司持续盈利状态，递延所得税资产实现性较好。</w:t>
      </w:r>
    </w:p>
    <w:p>
      <w:pPr>
        <w:spacing w:line="360" w:lineRule="auto" w:after="120"/>
        <w:ind w:firstLine="480"/>
      </w:pPr>
      <w:r>
        <w:rPr>
          <w:rFonts w:ascii="宋体" w:hAnsi="宋体" w:eastAsia="宋体"/>
          <w:b w:val="0"/>
          <w:sz w:val="24"/>
        </w:rPr>
        <w:t>⑦ 非流动资产合计：从2023年末7,553亿元增至2024年末7,917亿元（+4.8%），2025年末8,032亿元（+1.5%），2026Q1末8,108亿元（+0.9%）。增速放缓主要因油气资产折旧冲抵了在建工程增长。非流动资产占总资产约73%，符合油气行业重资产特征。</w:t>
      </w:r>
    </w:p>
    <w:p>
      <w:pPr>
        <w:pStyle w:val="Heading2"/>
        <w:spacing w:before="240" w:after="120" w:line="360" w:lineRule="auto"/>
      </w:pPr>
      <w:r>
        <w:rPr>
          <w:rFonts w:ascii="黑体" w:hAnsi="黑体" w:eastAsia="黑体"/>
          <w:b/>
          <w:sz w:val="28"/>
        </w:rPr>
        <w:t>2.3 流动负债深度分析</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科目</w:t>
            </w:r>
          </w:p>
        </w:tc>
        <w:tc>
          <w:tcPr>
            <w:tcW w:type="dxa" w:w="785"/>
          </w:tcPr>
          <w:p>
            <w:pPr>
              <w:jc w:val="center"/>
            </w:pPr>
            <w:r>
              <w:rPr>
                <w:rFonts w:ascii="黑体" w:hAnsi="黑体" w:eastAsia="黑体"/>
                <w:b/>
                <w:sz w:val="20"/>
              </w:rPr>
              <w:t>2023末</w:t>
            </w:r>
          </w:p>
        </w:tc>
        <w:tc>
          <w:tcPr>
            <w:tcW w:type="dxa" w:w="785"/>
          </w:tcPr>
          <w:p>
            <w:pPr>
              <w:jc w:val="center"/>
            </w:pPr>
            <w:r>
              <w:rPr>
                <w:rFonts w:ascii="黑体" w:hAnsi="黑体" w:eastAsia="黑体"/>
                <w:b/>
                <w:sz w:val="20"/>
              </w:rPr>
              <w:t>2024末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2025末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2026Q1</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短期借款</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200.80</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c>
          <w:tcPr>
            <w:tcW w:type="dxa" w:w="785"/>
          </w:tcPr>
          <w:p>
            <w:pPr>
              <w:jc w:val="center"/>
            </w:pPr>
            <w:r>
              <w:rPr>
                <w:rFonts w:ascii="黑体" w:hAnsi="黑体" w:eastAsia="黑体"/>
                <w:b/>
                <w:sz w:val="20"/>
              </w:rPr>
              <w:t>—</w:t>
            </w:r>
          </w:p>
        </w:tc>
      </w:tr>
      <w:tr>
        <w:tc>
          <w:tcPr>
            <w:tcW w:type="dxa" w:w="785"/>
          </w:tcPr>
          <w:p>
            <w:pPr>
              <w:jc w:val="right"/>
            </w:pPr>
            <w:r>
              <w:rPr>
                <w:rFonts w:ascii="宋体" w:hAnsi="宋体" w:eastAsia="宋体"/>
                <w:b w:val="0"/>
                <w:sz w:val="18"/>
              </w:rPr>
              <w:t>应付票据</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应付账款</w:t>
            </w:r>
          </w:p>
        </w:tc>
        <w:tc>
          <w:tcPr>
            <w:tcW w:type="dxa" w:w="785"/>
          </w:tcPr>
          <w:p>
            <w:pPr>
              <w:jc w:val="right"/>
            </w:pPr>
            <w:r>
              <w:rPr>
                <w:rFonts w:ascii="宋体" w:hAnsi="宋体" w:eastAsia="宋体"/>
                <w:b w:val="0"/>
                <w:sz w:val="18"/>
              </w:rPr>
              <w:t>613.80</w:t>
            </w:r>
          </w:p>
        </w:tc>
        <w:tc>
          <w:tcPr>
            <w:tcW w:type="dxa" w:w="785"/>
          </w:tcPr>
          <w:p>
            <w:pPr>
              <w:jc w:val="right"/>
            </w:pPr>
            <w:r>
              <w:rPr>
                <w:rFonts w:ascii="宋体" w:hAnsi="宋体" w:eastAsia="宋体"/>
                <w:b w:val="0"/>
                <w:sz w:val="18"/>
              </w:rPr>
              <w:t>596.90</w:t>
            </w:r>
          </w:p>
        </w:tc>
        <w:tc>
          <w:tcPr>
            <w:tcW w:type="dxa" w:w="785"/>
          </w:tcPr>
          <w:p>
            <w:pPr>
              <w:jc w:val="right"/>
            </w:pPr>
            <w:r>
              <w:rPr>
                <w:rFonts w:ascii="宋体" w:hAnsi="宋体" w:eastAsia="宋体"/>
                <w:b w:val="0"/>
                <w:sz w:val="18"/>
              </w:rPr>
              <w:t>-16.90</w:t>
            </w:r>
          </w:p>
        </w:tc>
        <w:tc>
          <w:tcPr>
            <w:tcW w:type="dxa" w:w="785"/>
          </w:tcPr>
          <w:p>
            <w:pPr>
              <w:jc w:val="right"/>
            </w:pPr>
            <w:r>
              <w:rPr>
                <w:rFonts w:ascii="宋体" w:hAnsi="宋体" w:eastAsia="宋体"/>
                <w:b w:val="0"/>
                <w:sz w:val="18"/>
              </w:rPr>
              <w:t>-2.8%</w:t>
            </w:r>
          </w:p>
        </w:tc>
        <w:tc>
          <w:tcPr>
            <w:tcW w:type="dxa" w:w="785"/>
          </w:tcPr>
          <w:p>
            <w:pPr>
              <w:jc w:val="right"/>
            </w:pPr>
            <w:r>
              <w:rPr>
                <w:rFonts w:ascii="宋体" w:hAnsi="宋体" w:eastAsia="宋体"/>
                <w:b w:val="0"/>
                <w:sz w:val="18"/>
              </w:rPr>
              <w:t>596.30</w:t>
            </w:r>
          </w:p>
        </w:tc>
        <w:tc>
          <w:tcPr>
            <w:tcW w:type="dxa" w:w="785"/>
          </w:tcPr>
          <w:p>
            <w:pPr>
              <w:jc w:val="right"/>
            </w:pPr>
            <w:r>
              <w:rPr>
                <w:rFonts w:ascii="宋体" w:hAnsi="宋体" w:eastAsia="宋体"/>
                <w:b w:val="0"/>
                <w:sz w:val="18"/>
              </w:rPr>
              <w:t>-0.60</w:t>
            </w:r>
          </w:p>
        </w:tc>
        <w:tc>
          <w:tcPr>
            <w:tcW w:type="dxa" w:w="785"/>
          </w:tcPr>
          <w:p>
            <w:pPr>
              <w:jc w:val="right"/>
            </w:pPr>
            <w:r>
              <w:rPr>
                <w:rFonts w:ascii="宋体" w:hAnsi="宋体" w:eastAsia="宋体"/>
                <w:b w:val="0"/>
                <w:sz w:val="18"/>
              </w:rPr>
              <w:t>-0.1%</w:t>
            </w:r>
          </w:p>
        </w:tc>
        <w:tc>
          <w:tcPr>
            <w:tcW w:type="dxa" w:w="785"/>
          </w:tcPr>
          <w:p>
            <w:pPr>
              <w:jc w:val="right"/>
            </w:pPr>
            <w:r>
              <w:rPr>
                <w:rFonts w:ascii="宋体" w:hAnsi="宋体" w:eastAsia="宋体"/>
                <w:b w:val="0"/>
                <w:sz w:val="18"/>
              </w:rPr>
              <w:t>680.69</w:t>
            </w:r>
          </w:p>
        </w:tc>
        <w:tc>
          <w:tcPr>
            <w:tcW w:type="dxa" w:w="785"/>
          </w:tcPr>
          <w:p>
            <w:pPr>
              <w:jc w:val="right"/>
            </w:pPr>
            <w:r>
              <w:rPr>
                <w:rFonts w:ascii="宋体" w:hAnsi="宋体" w:eastAsia="宋体"/>
                <w:b w:val="0"/>
                <w:sz w:val="18"/>
              </w:rPr>
              <w:t>84.39</w:t>
            </w:r>
          </w:p>
        </w:tc>
        <w:tc>
          <w:tcPr>
            <w:tcW w:type="dxa" w:w="785"/>
          </w:tcPr>
          <w:p>
            <w:pPr>
              <w:jc w:val="right"/>
            </w:pPr>
            <w:r>
              <w:rPr>
                <w:rFonts w:ascii="宋体" w:hAnsi="宋体" w:eastAsia="宋体"/>
                <w:b w:val="0"/>
                <w:sz w:val="18"/>
              </w:rPr>
              <w:t>+14.2%</w:t>
            </w:r>
          </w:p>
        </w:tc>
      </w:tr>
      <w:tr>
        <w:tc>
          <w:tcPr>
            <w:tcW w:type="dxa" w:w="785"/>
          </w:tcPr>
          <w:p>
            <w:pPr>
              <w:jc w:val="right"/>
            </w:pPr>
            <w:r>
              <w:rPr>
                <w:rFonts w:ascii="宋体" w:hAnsi="宋体" w:eastAsia="宋体"/>
                <w:b w:val="0"/>
                <w:sz w:val="18"/>
              </w:rPr>
              <w:t>合同负债</w:t>
            </w:r>
          </w:p>
        </w:tc>
        <w:tc>
          <w:tcPr>
            <w:tcW w:type="dxa" w:w="785"/>
          </w:tcPr>
          <w:p>
            <w:pPr>
              <w:jc w:val="right"/>
            </w:pPr>
            <w:r>
              <w:rPr>
                <w:rFonts w:ascii="宋体" w:hAnsi="宋体" w:eastAsia="宋体"/>
                <w:b w:val="0"/>
                <w:sz w:val="18"/>
              </w:rPr>
              <w:t>13.83</w:t>
            </w:r>
          </w:p>
        </w:tc>
        <w:tc>
          <w:tcPr>
            <w:tcW w:type="dxa" w:w="785"/>
          </w:tcPr>
          <w:p>
            <w:pPr>
              <w:jc w:val="right"/>
            </w:pPr>
            <w:r>
              <w:rPr>
                <w:rFonts w:ascii="宋体" w:hAnsi="宋体" w:eastAsia="宋体"/>
                <w:b w:val="0"/>
                <w:sz w:val="18"/>
              </w:rPr>
              <w:t>5.08</w:t>
            </w:r>
          </w:p>
        </w:tc>
        <w:tc>
          <w:tcPr>
            <w:tcW w:type="dxa" w:w="785"/>
          </w:tcPr>
          <w:p>
            <w:pPr>
              <w:jc w:val="right"/>
            </w:pPr>
            <w:r>
              <w:rPr>
                <w:rFonts w:ascii="宋体" w:hAnsi="宋体" w:eastAsia="宋体"/>
                <w:b w:val="0"/>
                <w:sz w:val="18"/>
              </w:rPr>
              <w:t>-8.75</w:t>
            </w:r>
          </w:p>
        </w:tc>
        <w:tc>
          <w:tcPr>
            <w:tcW w:type="dxa" w:w="785"/>
          </w:tcPr>
          <w:p>
            <w:pPr>
              <w:jc w:val="right"/>
            </w:pPr>
            <w:r>
              <w:rPr>
                <w:rFonts w:ascii="宋体" w:hAnsi="宋体" w:eastAsia="宋体"/>
                <w:b w:val="0"/>
                <w:sz w:val="18"/>
              </w:rPr>
              <w:t>-63.3%</w:t>
            </w:r>
          </w:p>
        </w:tc>
        <w:tc>
          <w:tcPr>
            <w:tcW w:type="dxa" w:w="785"/>
          </w:tcPr>
          <w:p>
            <w:pPr>
              <w:jc w:val="right"/>
            </w:pPr>
            <w:r>
              <w:rPr>
                <w:rFonts w:ascii="宋体" w:hAnsi="宋体" w:eastAsia="宋体"/>
                <w:b w:val="0"/>
                <w:sz w:val="18"/>
              </w:rPr>
              <w:t>8.04</w:t>
            </w:r>
          </w:p>
        </w:tc>
        <w:tc>
          <w:tcPr>
            <w:tcW w:type="dxa" w:w="785"/>
          </w:tcPr>
          <w:p>
            <w:pPr>
              <w:jc w:val="right"/>
            </w:pPr>
            <w:r>
              <w:rPr>
                <w:rFonts w:ascii="宋体" w:hAnsi="宋体" w:eastAsia="宋体"/>
                <w:b w:val="0"/>
                <w:sz w:val="18"/>
              </w:rPr>
              <w:t>2.96</w:t>
            </w:r>
          </w:p>
        </w:tc>
        <w:tc>
          <w:tcPr>
            <w:tcW w:type="dxa" w:w="785"/>
          </w:tcPr>
          <w:p>
            <w:pPr>
              <w:jc w:val="right"/>
            </w:pPr>
            <w:r>
              <w:rPr>
                <w:rFonts w:ascii="宋体" w:hAnsi="宋体" w:eastAsia="宋体"/>
                <w:b w:val="0"/>
                <w:sz w:val="18"/>
              </w:rPr>
              <w:t>+58.3%</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应付职工薪酬</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38.68</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23.22</w:t>
            </w:r>
          </w:p>
        </w:tc>
        <w:tc>
          <w:tcPr>
            <w:tcW w:type="dxa" w:w="785"/>
          </w:tcPr>
          <w:p>
            <w:pPr>
              <w:jc w:val="right"/>
            </w:pPr>
            <w:r>
              <w:rPr>
                <w:rFonts w:ascii="宋体" w:hAnsi="宋体" w:eastAsia="宋体"/>
                <w:b w:val="0"/>
                <w:sz w:val="18"/>
              </w:rPr>
              <w:t>-15.46</w:t>
            </w:r>
          </w:p>
        </w:tc>
        <w:tc>
          <w:tcPr>
            <w:tcW w:type="dxa" w:w="785"/>
          </w:tcPr>
          <w:p>
            <w:pPr>
              <w:jc w:val="right"/>
            </w:pPr>
            <w:r>
              <w:rPr>
                <w:rFonts w:ascii="宋体" w:hAnsi="宋体" w:eastAsia="宋体"/>
                <w:b w:val="0"/>
                <w:sz w:val="18"/>
              </w:rPr>
              <w:t>-40.0%</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应交税费</w:t>
            </w:r>
          </w:p>
        </w:tc>
        <w:tc>
          <w:tcPr>
            <w:tcW w:type="dxa" w:w="785"/>
          </w:tcPr>
          <w:p>
            <w:pPr>
              <w:jc w:val="right"/>
            </w:pPr>
            <w:r>
              <w:rPr>
                <w:rFonts w:ascii="宋体" w:hAnsi="宋体" w:eastAsia="宋体"/>
                <w:b w:val="0"/>
                <w:sz w:val="18"/>
              </w:rPr>
              <w:t>251.30</w:t>
            </w:r>
          </w:p>
        </w:tc>
        <w:tc>
          <w:tcPr>
            <w:tcW w:type="dxa" w:w="785"/>
          </w:tcPr>
          <w:p>
            <w:pPr>
              <w:jc w:val="right"/>
            </w:pPr>
            <w:r>
              <w:rPr>
                <w:rFonts w:ascii="宋体" w:hAnsi="宋体" w:eastAsia="宋体"/>
                <w:b w:val="0"/>
                <w:sz w:val="18"/>
              </w:rPr>
              <w:t>199.50</w:t>
            </w:r>
          </w:p>
        </w:tc>
        <w:tc>
          <w:tcPr>
            <w:tcW w:type="dxa" w:w="785"/>
          </w:tcPr>
          <w:p>
            <w:pPr>
              <w:jc w:val="right"/>
            </w:pPr>
            <w:r>
              <w:rPr>
                <w:rFonts w:ascii="宋体" w:hAnsi="宋体" w:eastAsia="宋体"/>
                <w:b w:val="0"/>
                <w:sz w:val="18"/>
              </w:rPr>
              <w:t>-51.80</w:t>
            </w:r>
          </w:p>
        </w:tc>
        <w:tc>
          <w:tcPr>
            <w:tcW w:type="dxa" w:w="785"/>
          </w:tcPr>
          <w:p>
            <w:pPr>
              <w:jc w:val="right"/>
            </w:pPr>
            <w:r>
              <w:rPr>
                <w:rFonts w:ascii="宋体" w:hAnsi="宋体" w:eastAsia="宋体"/>
                <w:b w:val="0"/>
                <w:sz w:val="18"/>
              </w:rPr>
              <w:t>-20.6%</w:t>
            </w:r>
          </w:p>
        </w:tc>
        <w:tc>
          <w:tcPr>
            <w:tcW w:type="dxa" w:w="785"/>
          </w:tcPr>
          <w:p>
            <w:pPr>
              <w:jc w:val="right"/>
            </w:pPr>
            <w:r>
              <w:rPr>
                <w:rFonts w:ascii="宋体" w:hAnsi="宋体" w:eastAsia="宋体"/>
                <w:b w:val="0"/>
                <w:sz w:val="18"/>
              </w:rPr>
              <w:t>168.20</w:t>
            </w:r>
          </w:p>
        </w:tc>
        <w:tc>
          <w:tcPr>
            <w:tcW w:type="dxa" w:w="785"/>
          </w:tcPr>
          <w:p>
            <w:pPr>
              <w:jc w:val="right"/>
            </w:pPr>
            <w:r>
              <w:rPr>
                <w:rFonts w:ascii="宋体" w:hAnsi="宋体" w:eastAsia="宋体"/>
                <w:b w:val="0"/>
                <w:sz w:val="18"/>
              </w:rPr>
              <w:t>-31.30</w:t>
            </w:r>
          </w:p>
        </w:tc>
        <w:tc>
          <w:tcPr>
            <w:tcW w:type="dxa" w:w="785"/>
          </w:tcPr>
          <w:p>
            <w:pPr>
              <w:jc w:val="right"/>
            </w:pPr>
            <w:r>
              <w:rPr>
                <w:rFonts w:ascii="宋体" w:hAnsi="宋体" w:eastAsia="宋体"/>
                <w:b w:val="0"/>
                <w:sz w:val="18"/>
              </w:rPr>
              <w:t>-15.7%</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其他应付款</w:t>
            </w:r>
          </w:p>
        </w:tc>
        <w:tc>
          <w:tcPr>
            <w:tcW w:type="dxa" w:w="785"/>
          </w:tcPr>
          <w:p>
            <w:pPr>
              <w:jc w:val="right"/>
            </w:pPr>
            <w:r>
              <w:rPr>
                <w:rFonts w:ascii="宋体" w:hAnsi="宋体" w:eastAsia="宋体"/>
                <w:b w:val="0"/>
                <w:sz w:val="18"/>
              </w:rPr>
              <w:t>119.10</w:t>
            </w:r>
          </w:p>
        </w:tc>
        <w:tc>
          <w:tcPr>
            <w:tcW w:type="dxa" w:w="785"/>
          </w:tcPr>
          <w:p>
            <w:pPr>
              <w:jc w:val="right"/>
            </w:pPr>
            <w:r>
              <w:rPr>
                <w:rFonts w:ascii="宋体" w:hAnsi="宋体" w:eastAsia="宋体"/>
                <w:b w:val="0"/>
                <w:sz w:val="18"/>
              </w:rPr>
              <w:t>112.10</w:t>
            </w:r>
          </w:p>
        </w:tc>
        <w:tc>
          <w:tcPr>
            <w:tcW w:type="dxa" w:w="785"/>
          </w:tcPr>
          <w:p>
            <w:pPr>
              <w:jc w:val="right"/>
            </w:pPr>
            <w:r>
              <w:rPr>
                <w:rFonts w:ascii="宋体" w:hAnsi="宋体" w:eastAsia="宋体"/>
                <w:b w:val="0"/>
                <w:sz w:val="18"/>
              </w:rPr>
              <w:t>-7.00</w:t>
            </w:r>
          </w:p>
        </w:tc>
        <w:tc>
          <w:tcPr>
            <w:tcW w:type="dxa" w:w="785"/>
          </w:tcPr>
          <w:p>
            <w:pPr>
              <w:jc w:val="right"/>
            </w:pPr>
            <w:r>
              <w:rPr>
                <w:rFonts w:ascii="宋体" w:hAnsi="宋体" w:eastAsia="宋体"/>
                <w:b w:val="0"/>
                <w:sz w:val="18"/>
              </w:rPr>
              <w:t>-5.9%</w:t>
            </w:r>
          </w:p>
        </w:tc>
        <w:tc>
          <w:tcPr>
            <w:tcW w:type="dxa" w:w="785"/>
          </w:tcPr>
          <w:p>
            <w:pPr>
              <w:jc w:val="right"/>
            </w:pPr>
            <w:r>
              <w:rPr>
                <w:rFonts w:ascii="宋体" w:hAnsi="宋体" w:eastAsia="宋体"/>
                <w:b w:val="0"/>
                <w:sz w:val="18"/>
              </w:rPr>
              <w:t>83.03</w:t>
            </w:r>
          </w:p>
        </w:tc>
        <w:tc>
          <w:tcPr>
            <w:tcW w:type="dxa" w:w="785"/>
          </w:tcPr>
          <w:p>
            <w:pPr>
              <w:jc w:val="right"/>
            </w:pPr>
            <w:r>
              <w:rPr>
                <w:rFonts w:ascii="宋体" w:hAnsi="宋体" w:eastAsia="宋体"/>
                <w:b w:val="0"/>
                <w:sz w:val="18"/>
              </w:rPr>
              <w:t>-29.07</w:t>
            </w:r>
          </w:p>
        </w:tc>
        <w:tc>
          <w:tcPr>
            <w:tcW w:type="dxa" w:w="785"/>
          </w:tcPr>
          <w:p>
            <w:pPr>
              <w:jc w:val="right"/>
            </w:pPr>
            <w:r>
              <w:rPr>
                <w:rFonts w:ascii="宋体" w:hAnsi="宋体" w:eastAsia="宋体"/>
                <w:b w:val="0"/>
                <w:sz w:val="18"/>
              </w:rPr>
              <w:t>-25.9%</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一年内到期的非流动负债</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其他流动负债</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流动负债合计</w:t>
            </w:r>
          </w:p>
        </w:tc>
        <w:tc>
          <w:tcPr>
            <w:tcW w:type="dxa" w:w="785"/>
          </w:tcPr>
          <w:p>
            <w:pPr>
              <w:jc w:val="right"/>
            </w:pPr>
            <w:r>
              <w:rPr>
                <w:rFonts w:ascii="宋体" w:hAnsi="宋体" w:eastAsia="宋体"/>
                <w:b w:val="0"/>
                <w:sz w:val="18"/>
              </w:rPr>
              <w:t>1,239.00</w:t>
            </w:r>
          </w:p>
        </w:tc>
        <w:tc>
          <w:tcPr>
            <w:tcW w:type="dxa" w:w="785"/>
          </w:tcPr>
          <w:p>
            <w:pPr>
              <w:jc w:val="right"/>
            </w:pPr>
            <w:r>
              <w:rPr>
                <w:rFonts w:ascii="宋体" w:hAnsi="宋体" w:eastAsia="宋体"/>
                <w:b w:val="0"/>
                <w:sz w:val="18"/>
              </w:rPr>
              <w:t>1,189.00</w:t>
            </w:r>
          </w:p>
        </w:tc>
        <w:tc>
          <w:tcPr>
            <w:tcW w:type="dxa" w:w="785"/>
          </w:tcPr>
          <w:p>
            <w:pPr>
              <w:jc w:val="right"/>
            </w:pPr>
            <w:r>
              <w:rPr>
                <w:rFonts w:ascii="宋体" w:hAnsi="宋体" w:eastAsia="宋体"/>
                <w:b w:val="0"/>
                <w:sz w:val="18"/>
              </w:rPr>
              <w:t>-50.00</w:t>
            </w:r>
          </w:p>
        </w:tc>
        <w:tc>
          <w:tcPr>
            <w:tcW w:type="dxa" w:w="785"/>
          </w:tcPr>
          <w:p>
            <w:pPr>
              <w:jc w:val="right"/>
            </w:pPr>
            <w:r>
              <w:rPr>
                <w:rFonts w:ascii="宋体" w:hAnsi="宋体" w:eastAsia="宋体"/>
                <w:b w:val="0"/>
                <w:sz w:val="18"/>
              </w:rPr>
              <w:t>-4.0%</w:t>
            </w:r>
          </w:p>
        </w:tc>
        <w:tc>
          <w:tcPr>
            <w:tcW w:type="dxa" w:w="785"/>
          </w:tcPr>
          <w:p>
            <w:pPr>
              <w:jc w:val="right"/>
            </w:pPr>
            <w:r>
              <w:rPr>
                <w:rFonts w:ascii="宋体" w:hAnsi="宋体" w:eastAsia="宋体"/>
                <w:b w:val="0"/>
                <w:sz w:val="18"/>
              </w:rPr>
              <w:t>912.50</w:t>
            </w:r>
          </w:p>
        </w:tc>
        <w:tc>
          <w:tcPr>
            <w:tcW w:type="dxa" w:w="785"/>
          </w:tcPr>
          <w:p>
            <w:pPr>
              <w:jc w:val="right"/>
            </w:pPr>
            <w:r>
              <w:rPr>
                <w:rFonts w:ascii="宋体" w:hAnsi="宋体" w:eastAsia="宋体"/>
                <w:b w:val="0"/>
                <w:sz w:val="18"/>
              </w:rPr>
              <w:t>-276.50</w:t>
            </w:r>
          </w:p>
        </w:tc>
        <w:tc>
          <w:tcPr>
            <w:tcW w:type="dxa" w:w="785"/>
          </w:tcPr>
          <w:p>
            <w:pPr>
              <w:jc w:val="right"/>
            </w:pPr>
            <w:r>
              <w:rPr>
                <w:rFonts w:ascii="宋体" w:hAnsi="宋体" w:eastAsia="宋体"/>
                <w:b w:val="0"/>
                <w:sz w:val="18"/>
              </w:rPr>
              <w:t>-23.3%</w:t>
            </w:r>
          </w:p>
        </w:tc>
        <w:tc>
          <w:tcPr>
            <w:tcW w:type="dxa" w:w="785"/>
          </w:tcPr>
          <w:p>
            <w:pPr>
              <w:jc w:val="right"/>
            </w:pPr>
            <w:r>
              <w:rPr>
                <w:rFonts w:ascii="宋体" w:hAnsi="宋体" w:eastAsia="宋体"/>
                <w:b w:val="0"/>
                <w:sz w:val="18"/>
              </w:rPr>
              <w:t>1,083.07</w:t>
            </w:r>
          </w:p>
        </w:tc>
        <w:tc>
          <w:tcPr>
            <w:tcW w:type="dxa" w:w="785"/>
          </w:tcPr>
          <w:p>
            <w:pPr>
              <w:jc w:val="right"/>
            </w:pPr>
            <w:r>
              <w:rPr>
                <w:rFonts w:ascii="宋体" w:hAnsi="宋体" w:eastAsia="宋体"/>
                <w:b w:val="0"/>
                <w:sz w:val="18"/>
              </w:rPr>
              <w:t>170.57</w:t>
            </w:r>
          </w:p>
        </w:tc>
        <w:tc>
          <w:tcPr>
            <w:tcW w:type="dxa" w:w="785"/>
          </w:tcPr>
          <w:p>
            <w:pPr>
              <w:jc w:val="right"/>
            </w:pPr>
            <w:r>
              <w:rPr>
                <w:rFonts w:ascii="宋体" w:hAnsi="宋体" w:eastAsia="宋体"/>
                <w:b w:val="0"/>
                <w:sz w:val="18"/>
              </w:rPr>
              <w:t>+18.7%</w:t>
            </w:r>
          </w:p>
        </w:tc>
      </w:tr>
    </w:tbl>
    <w:p/>
    <w:p>
      <w:pPr>
        <w:spacing w:line="360" w:lineRule="auto" w:after="120"/>
        <w:ind w:firstLine="0"/>
      </w:pPr>
      <w:r>
        <w:rPr>
          <w:rFonts w:ascii="宋体" w:hAnsi="宋体" w:eastAsia="宋体"/>
          <w:b/>
          <w:sz w:val="24"/>
        </w:rPr>
        <w:t>流动负债分析：</w:t>
      </w:r>
    </w:p>
    <w:p>
      <w:pPr>
        <w:spacing w:line="360" w:lineRule="auto" w:after="120"/>
        <w:ind w:firstLine="480"/>
      </w:pPr>
      <w:r>
        <w:rPr>
          <w:rFonts w:ascii="宋体" w:hAnsi="宋体" w:eastAsia="宋体"/>
          <w:b w:val="0"/>
          <w:sz w:val="24"/>
        </w:rPr>
        <w:t>① 短期借款/银行借款：2023年末218.9亿元、2024年末200.8亿元，2025年末未单独列示（可能重分类至一年内到期）。公司短期借款规模相对较小，且货币资金充裕（2025年末2,147亿元），不存在短债长投风险。油气行业通常依赖长期项目融资，短期借款主要用于季节性周转。</w:t>
      </w:r>
    </w:p>
    <w:p>
      <w:pPr>
        <w:spacing w:line="360" w:lineRule="auto" w:after="120"/>
        <w:ind w:firstLine="480"/>
      </w:pPr>
      <w:r>
        <w:rPr>
          <w:rFonts w:ascii="宋体" w:hAnsi="宋体" w:eastAsia="宋体"/>
          <w:b w:val="0"/>
          <w:sz w:val="24"/>
        </w:rPr>
        <w:t>② 应付账款：2023年末613.8亿元、2024年末596.9亿元（-2.7%）、2025年末596.3亿元（基本持平）、2026Q1末680.7亿元（+14.1%）。应付账款规模稳定，2026Q1末增加与资本开支和勘探活动季节性增加有关。公司对上游供应商（钻井、工程服务、设备）占款能力较强，应付账款周转天数约111天，长于应收账款周转天数约30天，体现产业链强势地位。</w:t>
      </w:r>
    </w:p>
    <w:p>
      <w:pPr>
        <w:spacing w:line="360" w:lineRule="auto" w:after="120"/>
        <w:ind w:firstLine="480"/>
      </w:pPr>
      <w:r>
        <w:rPr>
          <w:rFonts w:ascii="宋体" w:hAnsi="宋体" w:eastAsia="宋体"/>
          <w:b w:val="0"/>
          <w:sz w:val="24"/>
        </w:rPr>
        <w:t>③ 合同负债：2023年末13.8亿元、2024年末5.08亿元（-63.3%）、2025年末8.04亿元（+58.3%）。合同负债规模很小，反映油气销售预收性质不强（与长协月度结算有关）。2024年大幅下降可能与天然气销售结算模式变化有关；2025年回升至8亿元，但绝对金额仍然有限，不能作为订单景气度的强信号。</w:t>
      </w:r>
    </w:p>
    <w:p>
      <w:pPr>
        <w:spacing w:line="360" w:lineRule="auto" w:after="120"/>
        <w:ind w:firstLine="480"/>
      </w:pPr>
      <w:r>
        <w:rPr>
          <w:rFonts w:ascii="宋体" w:hAnsi="宋体" w:eastAsia="宋体"/>
          <w:b w:val="0"/>
          <w:sz w:val="24"/>
        </w:rPr>
        <w:t>④ 应交税费：2023年末251.3亿元、2024年末199.5亿元（-20.6%）、2025年末168.2亿元（-15.7%）。应交税费持续下降与2024-2025年油价下跌、利润下滑导致的所得税和石油特别收益金减少有关。2025年利润总额约1,696亿元，同比下降10.7%，税费同步下降。</w:t>
      </w:r>
    </w:p>
    <w:p>
      <w:pPr>
        <w:spacing w:line="360" w:lineRule="auto" w:after="120"/>
        <w:ind w:firstLine="480"/>
      </w:pPr>
      <w:r>
        <w:rPr>
          <w:rFonts w:ascii="宋体" w:hAnsi="宋体" w:eastAsia="宋体"/>
          <w:b w:val="0"/>
          <w:sz w:val="24"/>
        </w:rPr>
        <w:t>⑤ 其他应付款：2023年末119.1亿元、2024年末112.1亿元、2025年末83.03亿元（-26.0%）。主要包含应付股利、押金保证金、关联方往来等。2025年末下降可能与年度分红支付后应付股利减少有关。需关注是否存在关联方资金占用，但金额较小，风险可控。</w:t>
      </w:r>
    </w:p>
    <w:p>
      <w:pPr>
        <w:spacing w:line="360" w:lineRule="auto" w:after="120"/>
        <w:ind w:firstLine="480"/>
      </w:pPr>
      <w:r>
        <w:rPr>
          <w:rFonts w:ascii="宋体" w:hAnsi="宋体" w:eastAsia="宋体"/>
          <w:b w:val="0"/>
          <w:sz w:val="24"/>
        </w:rPr>
        <w:t>⑥ 流动负债合计：2023年末1,239亿元、2024年末1,189亿元（-4.0%）、2025年末912.5亿元（-23.2%）、2026Q1末1,083亿元（+18.8%）。2025年大幅下降主要因应交税费、其他应付款、短期借款等减少，反映公司主动去杠杆和改善流动性。2026Q1回升属于季节性正常波动。流动比率从2024年末2.23提升至2025年末3.24，短期偿债能力显著增强。</w:t>
      </w:r>
    </w:p>
    <w:p>
      <w:pPr>
        <w:pStyle w:val="Heading2"/>
        <w:spacing w:before="240" w:after="120" w:line="360" w:lineRule="auto"/>
      </w:pPr>
      <w:r>
        <w:rPr>
          <w:rFonts w:ascii="黑体" w:hAnsi="黑体" w:eastAsia="黑体"/>
          <w:b/>
          <w:sz w:val="28"/>
        </w:rPr>
        <w:t>2.4 非流动负债深度分析</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科目</w:t>
            </w:r>
          </w:p>
        </w:tc>
        <w:tc>
          <w:tcPr>
            <w:tcW w:type="dxa" w:w="785"/>
          </w:tcPr>
          <w:p>
            <w:pPr>
              <w:jc w:val="center"/>
            </w:pPr>
            <w:r>
              <w:rPr>
                <w:rFonts w:ascii="黑体" w:hAnsi="黑体" w:eastAsia="黑体"/>
                <w:b/>
                <w:sz w:val="20"/>
              </w:rPr>
              <w:t>2023末</w:t>
            </w:r>
          </w:p>
        </w:tc>
        <w:tc>
          <w:tcPr>
            <w:tcW w:type="dxa" w:w="785"/>
          </w:tcPr>
          <w:p>
            <w:pPr>
              <w:jc w:val="center"/>
            </w:pPr>
            <w:r>
              <w:rPr>
                <w:rFonts w:ascii="黑体" w:hAnsi="黑体" w:eastAsia="黑体"/>
                <w:b/>
                <w:sz w:val="20"/>
              </w:rPr>
              <w:t>2024末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2025末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2026Q1</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长期借款</w:t>
            </w:r>
          </w:p>
        </w:tc>
        <w:tc>
          <w:tcPr>
            <w:tcW w:type="dxa" w:w="785"/>
          </w:tcPr>
          <w:p>
            <w:pPr>
              <w:jc w:val="center"/>
            </w:pPr>
            <w:r>
              <w:rPr>
                <w:rFonts w:ascii="黑体" w:hAnsi="黑体" w:eastAsia="黑体"/>
                <w:b/>
                <w:sz w:val="20"/>
              </w:rPr>
              <w:t>882.10</w:t>
            </w:r>
          </w:p>
        </w:tc>
        <w:tc>
          <w:tcPr>
            <w:tcW w:type="dxa" w:w="785"/>
          </w:tcPr>
          <w:p>
            <w:pPr>
              <w:jc w:val="center"/>
            </w:pPr>
            <w:r>
              <w:rPr>
                <w:rFonts w:ascii="黑体" w:hAnsi="黑体" w:eastAsia="黑体"/>
                <w:b/>
                <w:sz w:val="20"/>
              </w:rPr>
              <w:t>612.40</w:t>
            </w:r>
          </w:p>
        </w:tc>
        <w:tc>
          <w:tcPr>
            <w:tcW w:type="dxa" w:w="785"/>
          </w:tcPr>
          <w:p>
            <w:pPr>
              <w:jc w:val="center"/>
            </w:pPr>
            <w:r>
              <w:rPr>
                <w:rFonts w:ascii="黑体" w:hAnsi="黑体" w:eastAsia="黑体"/>
                <w:b/>
                <w:sz w:val="20"/>
              </w:rPr>
              <w:t>-269.70</w:t>
            </w:r>
          </w:p>
        </w:tc>
        <w:tc>
          <w:tcPr>
            <w:tcW w:type="dxa" w:w="785"/>
          </w:tcPr>
          <w:p>
            <w:pPr>
              <w:jc w:val="center"/>
            </w:pPr>
            <w:r>
              <w:rPr>
                <w:rFonts w:ascii="黑体" w:hAnsi="黑体" w:eastAsia="黑体"/>
                <w:b/>
                <w:sz w:val="20"/>
              </w:rPr>
              <w:t>-30.6%</w:t>
            </w:r>
          </w:p>
        </w:tc>
        <w:tc>
          <w:tcPr>
            <w:tcW w:type="dxa" w:w="785"/>
          </w:tcPr>
          <w:p>
            <w:pPr>
              <w:jc w:val="center"/>
            </w:pPr>
            <w:r>
              <w:rPr>
                <w:rFonts w:ascii="黑体" w:hAnsi="黑体" w:eastAsia="黑体"/>
                <w:b/>
                <w:sz w:val="20"/>
              </w:rPr>
              <w:t>51.02</w:t>
            </w:r>
          </w:p>
        </w:tc>
        <w:tc>
          <w:tcPr>
            <w:tcW w:type="dxa" w:w="785"/>
          </w:tcPr>
          <w:p>
            <w:pPr>
              <w:jc w:val="center"/>
            </w:pPr>
            <w:r>
              <w:rPr>
                <w:rFonts w:ascii="黑体" w:hAnsi="黑体" w:eastAsia="黑体"/>
                <w:b/>
                <w:sz w:val="20"/>
              </w:rPr>
              <w:t>-561.38</w:t>
            </w:r>
          </w:p>
        </w:tc>
        <w:tc>
          <w:tcPr>
            <w:tcW w:type="dxa" w:w="785"/>
          </w:tcPr>
          <w:p>
            <w:pPr>
              <w:jc w:val="center"/>
            </w:pPr>
            <w:r>
              <w:rPr>
                <w:rFonts w:ascii="黑体" w:hAnsi="黑体" w:eastAsia="黑体"/>
                <w:b/>
                <w:sz w:val="20"/>
              </w:rPr>
              <w:t>-91.7%</w:t>
            </w:r>
          </w:p>
        </w:tc>
        <w:tc>
          <w:tcPr>
            <w:tcW w:type="dxa" w:w="785"/>
          </w:tcPr>
          <w:p>
            <w:pPr>
              <w:jc w:val="center"/>
            </w:pPr>
            <w:r>
              <w:rPr>
                <w:rFonts w:ascii="黑体" w:hAnsi="黑体" w:eastAsia="黑体"/>
                <w:b/>
                <w:sz w:val="20"/>
              </w:rPr>
              <w:t>47.70</w:t>
            </w:r>
          </w:p>
        </w:tc>
        <w:tc>
          <w:tcPr>
            <w:tcW w:type="dxa" w:w="785"/>
          </w:tcPr>
          <w:p>
            <w:pPr>
              <w:jc w:val="center"/>
            </w:pPr>
            <w:r>
              <w:rPr>
                <w:rFonts w:ascii="黑体" w:hAnsi="黑体" w:eastAsia="黑体"/>
                <w:b/>
                <w:sz w:val="20"/>
              </w:rPr>
              <w:t>-3.32</w:t>
            </w:r>
          </w:p>
        </w:tc>
        <w:tc>
          <w:tcPr>
            <w:tcW w:type="dxa" w:w="785"/>
          </w:tcPr>
          <w:p>
            <w:pPr>
              <w:jc w:val="center"/>
            </w:pPr>
            <w:r>
              <w:rPr>
                <w:rFonts w:ascii="黑体" w:hAnsi="黑体" w:eastAsia="黑体"/>
                <w:b/>
                <w:sz w:val="20"/>
              </w:rPr>
              <w:t>-6.5%</w:t>
            </w:r>
          </w:p>
        </w:tc>
      </w:tr>
      <w:tr>
        <w:tc>
          <w:tcPr>
            <w:tcW w:type="dxa" w:w="785"/>
          </w:tcPr>
          <w:p>
            <w:pPr>
              <w:jc w:val="right"/>
            </w:pPr>
            <w:r>
              <w:rPr>
                <w:rFonts w:ascii="宋体" w:hAnsi="宋体" w:eastAsia="宋体"/>
                <w:b w:val="0"/>
                <w:sz w:val="18"/>
              </w:rPr>
              <w:t>租赁负债</w:t>
            </w:r>
          </w:p>
        </w:tc>
        <w:tc>
          <w:tcPr>
            <w:tcW w:type="dxa" w:w="785"/>
          </w:tcPr>
          <w:p>
            <w:pPr>
              <w:jc w:val="right"/>
            </w:pPr>
            <w:r>
              <w:rPr>
                <w:rFonts w:ascii="宋体" w:hAnsi="宋体" w:eastAsia="宋体"/>
                <w:b w:val="0"/>
                <w:sz w:val="18"/>
              </w:rPr>
              <w:t>22.17</w:t>
            </w:r>
          </w:p>
        </w:tc>
        <w:tc>
          <w:tcPr>
            <w:tcW w:type="dxa" w:w="785"/>
          </w:tcPr>
          <w:p>
            <w:pPr>
              <w:jc w:val="right"/>
            </w:pPr>
            <w:r>
              <w:rPr>
                <w:rFonts w:ascii="宋体" w:hAnsi="宋体" w:eastAsia="宋体"/>
                <w:b w:val="0"/>
                <w:sz w:val="18"/>
              </w:rPr>
              <w:t>22.64</w:t>
            </w:r>
          </w:p>
        </w:tc>
        <w:tc>
          <w:tcPr>
            <w:tcW w:type="dxa" w:w="785"/>
          </w:tcPr>
          <w:p>
            <w:pPr>
              <w:jc w:val="right"/>
            </w:pPr>
            <w:r>
              <w:rPr>
                <w:rFonts w:ascii="宋体" w:hAnsi="宋体" w:eastAsia="宋体"/>
                <w:b w:val="0"/>
                <w:sz w:val="18"/>
              </w:rPr>
              <w:t>0.47</w:t>
            </w:r>
          </w:p>
        </w:tc>
        <w:tc>
          <w:tcPr>
            <w:tcW w:type="dxa" w:w="785"/>
          </w:tcPr>
          <w:p>
            <w:pPr>
              <w:jc w:val="right"/>
            </w:pPr>
            <w:r>
              <w:rPr>
                <w:rFonts w:ascii="宋体" w:hAnsi="宋体" w:eastAsia="宋体"/>
                <w:b w:val="0"/>
                <w:sz w:val="18"/>
              </w:rPr>
              <w:t>+2.1%</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长期应付款</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607.20</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568.60</w:t>
            </w:r>
          </w:p>
        </w:tc>
        <w:tc>
          <w:tcPr>
            <w:tcW w:type="dxa" w:w="785"/>
          </w:tcPr>
          <w:p>
            <w:pPr>
              <w:jc w:val="right"/>
            </w:pPr>
            <w:r>
              <w:rPr>
                <w:rFonts w:ascii="宋体" w:hAnsi="宋体" w:eastAsia="宋体"/>
                <w:b w:val="0"/>
                <w:sz w:val="18"/>
              </w:rPr>
              <w:t>-38.60</w:t>
            </w:r>
          </w:p>
        </w:tc>
        <w:tc>
          <w:tcPr>
            <w:tcW w:type="dxa" w:w="785"/>
          </w:tcPr>
          <w:p>
            <w:pPr>
              <w:jc w:val="right"/>
            </w:pPr>
            <w:r>
              <w:rPr>
                <w:rFonts w:ascii="宋体" w:hAnsi="宋体" w:eastAsia="宋体"/>
                <w:b w:val="0"/>
                <w:sz w:val="18"/>
              </w:rPr>
              <w:t>-6.4%</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预计负债</w:t>
            </w:r>
          </w:p>
        </w:tc>
        <w:tc>
          <w:tcPr>
            <w:tcW w:type="dxa" w:w="785"/>
          </w:tcPr>
          <w:p>
            <w:pPr>
              <w:jc w:val="right"/>
            </w:pPr>
            <w:r>
              <w:rPr>
                <w:rFonts w:ascii="宋体" w:hAnsi="宋体" w:eastAsia="宋体"/>
                <w:b w:val="0"/>
                <w:sz w:val="18"/>
              </w:rPr>
              <w:t>970.90</w:t>
            </w:r>
          </w:p>
        </w:tc>
        <w:tc>
          <w:tcPr>
            <w:tcW w:type="dxa" w:w="785"/>
          </w:tcPr>
          <w:p>
            <w:pPr>
              <w:jc w:val="right"/>
            </w:pPr>
            <w:r>
              <w:rPr>
                <w:rFonts w:ascii="宋体" w:hAnsi="宋体" w:eastAsia="宋体"/>
                <w:b w:val="0"/>
                <w:sz w:val="18"/>
              </w:rPr>
              <w:t>997.40</w:t>
            </w:r>
          </w:p>
        </w:tc>
        <w:tc>
          <w:tcPr>
            <w:tcW w:type="dxa" w:w="785"/>
          </w:tcPr>
          <w:p>
            <w:pPr>
              <w:jc w:val="right"/>
            </w:pPr>
            <w:r>
              <w:rPr>
                <w:rFonts w:ascii="宋体" w:hAnsi="宋体" w:eastAsia="宋体"/>
                <w:b w:val="0"/>
                <w:sz w:val="18"/>
              </w:rPr>
              <w:t>26.50</w:t>
            </w:r>
          </w:p>
        </w:tc>
        <w:tc>
          <w:tcPr>
            <w:tcW w:type="dxa" w:w="785"/>
          </w:tcPr>
          <w:p>
            <w:pPr>
              <w:jc w:val="right"/>
            </w:pPr>
            <w:r>
              <w:rPr>
                <w:rFonts w:ascii="宋体" w:hAnsi="宋体" w:eastAsia="宋体"/>
                <w:b w:val="0"/>
                <w:sz w:val="18"/>
              </w:rPr>
              <w:t>+2.7%</w:t>
            </w:r>
          </w:p>
        </w:tc>
        <w:tc>
          <w:tcPr>
            <w:tcW w:type="dxa" w:w="785"/>
          </w:tcPr>
          <w:p>
            <w:pPr>
              <w:jc w:val="right"/>
            </w:pPr>
            <w:r>
              <w:rPr>
                <w:rFonts w:ascii="宋体" w:hAnsi="宋体" w:eastAsia="宋体"/>
                <w:b w:val="0"/>
                <w:sz w:val="18"/>
              </w:rPr>
              <w:t>1,160.00</w:t>
            </w:r>
          </w:p>
        </w:tc>
        <w:tc>
          <w:tcPr>
            <w:tcW w:type="dxa" w:w="785"/>
          </w:tcPr>
          <w:p>
            <w:pPr>
              <w:jc w:val="right"/>
            </w:pPr>
            <w:r>
              <w:rPr>
                <w:rFonts w:ascii="宋体" w:hAnsi="宋体" w:eastAsia="宋体"/>
                <w:b w:val="0"/>
                <w:sz w:val="18"/>
              </w:rPr>
              <w:t>162.60</w:t>
            </w:r>
          </w:p>
        </w:tc>
        <w:tc>
          <w:tcPr>
            <w:tcW w:type="dxa" w:w="785"/>
          </w:tcPr>
          <w:p>
            <w:pPr>
              <w:jc w:val="right"/>
            </w:pPr>
            <w:r>
              <w:rPr>
                <w:rFonts w:ascii="宋体" w:hAnsi="宋体" w:eastAsia="宋体"/>
                <w:b w:val="0"/>
                <w:sz w:val="18"/>
              </w:rPr>
              <w:t>+16.3%</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递延收益</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递延所得税负债</w:t>
            </w:r>
          </w:p>
        </w:tc>
        <w:tc>
          <w:tcPr>
            <w:tcW w:type="dxa" w:w="785"/>
          </w:tcPr>
          <w:p>
            <w:pPr>
              <w:jc w:val="right"/>
            </w:pPr>
            <w:r>
              <w:rPr>
                <w:rFonts w:ascii="宋体" w:hAnsi="宋体" w:eastAsia="宋体"/>
                <w:b w:val="0"/>
                <w:sz w:val="18"/>
              </w:rPr>
              <w:t>108.50</w:t>
            </w:r>
          </w:p>
        </w:tc>
        <w:tc>
          <w:tcPr>
            <w:tcW w:type="dxa" w:w="785"/>
          </w:tcPr>
          <w:p>
            <w:pPr>
              <w:jc w:val="right"/>
            </w:pPr>
            <w:r>
              <w:rPr>
                <w:rFonts w:ascii="宋体" w:hAnsi="宋体" w:eastAsia="宋体"/>
                <w:b w:val="0"/>
                <w:sz w:val="18"/>
              </w:rPr>
              <w:t>125.20</w:t>
            </w:r>
          </w:p>
        </w:tc>
        <w:tc>
          <w:tcPr>
            <w:tcW w:type="dxa" w:w="785"/>
          </w:tcPr>
          <w:p>
            <w:pPr>
              <w:jc w:val="right"/>
            </w:pPr>
            <w:r>
              <w:rPr>
                <w:rFonts w:ascii="宋体" w:hAnsi="宋体" w:eastAsia="宋体"/>
                <w:b w:val="0"/>
                <w:sz w:val="18"/>
              </w:rPr>
              <w:t>16.70</w:t>
            </w:r>
          </w:p>
        </w:tc>
        <w:tc>
          <w:tcPr>
            <w:tcW w:type="dxa" w:w="785"/>
          </w:tcPr>
          <w:p>
            <w:pPr>
              <w:jc w:val="right"/>
            </w:pPr>
            <w:r>
              <w:rPr>
                <w:rFonts w:ascii="宋体" w:hAnsi="宋体" w:eastAsia="宋体"/>
                <w:b w:val="0"/>
                <w:sz w:val="18"/>
              </w:rPr>
              <w:t>+15.4%</w:t>
            </w:r>
          </w:p>
        </w:tc>
        <w:tc>
          <w:tcPr>
            <w:tcW w:type="dxa" w:w="785"/>
          </w:tcPr>
          <w:p>
            <w:pPr>
              <w:jc w:val="right"/>
            </w:pPr>
            <w:r>
              <w:rPr>
                <w:rFonts w:ascii="宋体" w:hAnsi="宋体" w:eastAsia="宋体"/>
                <w:b w:val="0"/>
                <w:sz w:val="18"/>
              </w:rPr>
              <w:t>135.90</w:t>
            </w:r>
          </w:p>
        </w:tc>
        <w:tc>
          <w:tcPr>
            <w:tcW w:type="dxa" w:w="785"/>
          </w:tcPr>
          <w:p>
            <w:pPr>
              <w:jc w:val="right"/>
            </w:pPr>
            <w:r>
              <w:rPr>
                <w:rFonts w:ascii="宋体" w:hAnsi="宋体" w:eastAsia="宋体"/>
                <w:b w:val="0"/>
                <w:sz w:val="18"/>
              </w:rPr>
              <w:t>10.70</w:t>
            </w:r>
          </w:p>
        </w:tc>
        <w:tc>
          <w:tcPr>
            <w:tcW w:type="dxa" w:w="785"/>
          </w:tcPr>
          <w:p>
            <w:pPr>
              <w:jc w:val="right"/>
            </w:pPr>
            <w:r>
              <w:rPr>
                <w:rFonts w:ascii="宋体" w:hAnsi="宋体" w:eastAsia="宋体"/>
                <w:b w:val="0"/>
                <w:sz w:val="18"/>
              </w:rPr>
              <w:t>+8.5%</w:t>
            </w:r>
          </w:p>
        </w:tc>
        <w:tc>
          <w:tcPr>
            <w:tcW w:type="dxa" w:w="785"/>
          </w:tcPr>
          <w:p>
            <w:pPr>
              <w:jc w:val="right"/>
            </w:pPr>
            <w:r>
              <w:rPr>
                <w:rFonts w:ascii="宋体" w:hAnsi="宋体" w:eastAsia="宋体"/>
                <w:b w:val="0"/>
                <w:sz w:val="18"/>
              </w:rPr>
              <w:t>146.19</w:t>
            </w:r>
          </w:p>
        </w:tc>
        <w:tc>
          <w:tcPr>
            <w:tcW w:type="dxa" w:w="785"/>
          </w:tcPr>
          <w:p>
            <w:pPr>
              <w:jc w:val="right"/>
            </w:pPr>
            <w:r>
              <w:rPr>
                <w:rFonts w:ascii="宋体" w:hAnsi="宋体" w:eastAsia="宋体"/>
                <w:b w:val="0"/>
                <w:sz w:val="18"/>
              </w:rPr>
              <w:t>10.29</w:t>
            </w:r>
          </w:p>
        </w:tc>
        <w:tc>
          <w:tcPr>
            <w:tcW w:type="dxa" w:w="785"/>
          </w:tcPr>
          <w:p>
            <w:pPr>
              <w:jc w:val="right"/>
            </w:pPr>
            <w:r>
              <w:rPr>
                <w:rFonts w:ascii="宋体" w:hAnsi="宋体" w:eastAsia="宋体"/>
                <w:b w:val="0"/>
                <w:sz w:val="18"/>
              </w:rPr>
              <w:t>+7.6%</w:t>
            </w:r>
          </w:p>
        </w:tc>
      </w:tr>
      <w:tr>
        <w:tc>
          <w:tcPr>
            <w:tcW w:type="dxa" w:w="785"/>
          </w:tcPr>
          <w:p>
            <w:pPr>
              <w:jc w:val="right"/>
            </w:pPr>
            <w:r>
              <w:rPr>
                <w:rFonts w:ascii="宋体" w:hAnsi="宋体" w:eastAsia="宋体"/>
                <w:b w:val="0"/>
                <w:sz w:val="18"/>
              </w:rPr>
              <w:t>其他非流动负债</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61.70</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29.15</w:t>
            </w:r>
          </w:p>
        </w:tc>
        <w:tc>
          <w:tcPr>
            <w:tcW w:type="dxa" w:w="785"/>
          </w:tcPr>
          <w:p>
            <w:pPr>
              <w:jc w:val="right"/>
            </w:pPr>
            <w:r>
              <w:rPr>
                <w:rFonts w:ascii="宋体" w:hAnsi="宋体" w:eastAsia="宋体"/>
                <w:b w:val="0"/>
                <w:sz w:val="18"/>
              </w:rPr>
              <w:t>-32.55</w:t>
            </w:r>
          </w:p>
        </w:tc>
        <w:tc>
          <w:tcPr>
            <w:tcW w:type="dxa" w:w="785"/>
          </w:tcPr>
          <w:p>
            <w:pPr>
              <w:jc w:val="right"/>
            </w:pPr>
            <w:r>
              <w:rPr>
                <w:rFonts w:ascii="宋体" w:hAnsi="宋体" w:eastAsia="宋体"/>
                <w:b w:val="0"/>
                <w:sz w:val="18"/>
              </w:rPr>
              <w:t>-52.8%</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非流动负债合计</w:t>
            </w:r>
          </w:p>
        </w:tc>
        <w:tc>
          <w:tcPr>
            <w:tcW w:type="dxa" w:w="785"/>
          </w:tcPr>
          <w:p>
            <w:pPr>
              <w:jc w:val="right"/>
            </w:pPr>
            <w:r>
              <w:rPr>
                <w:rFonts w:ascii="宋体" w:hAnsi="宋体" w:eastAsia="宋体"/>
                <w:b w:val="0"/>
                <w:sz w:val="18"/>
              </w:rPr>
              <w:t>2,138.00</w:t>
            </w:r>
          </w:p>
        </w:tc>
        <w:tc>
          <w:tcPr>
            <w:tcW w:type="dxa" w:w="785"/>
          </w:tcPr>
          <w:p>
            <w:pPr>
              <w:jc w:val="right"/>
            </w:pPr>
            <w:r>
              <w:rPr>
                <w:rFonts w:ascii="宋体" w:hAnsi="宋体" w:eastAsia="宋体"/>
                <w:b w:val="0"/>
                <w:sz w:val="18"/>
              </w:rPr>
              <w:t>1,880.00</w:t>
            </w:r>
          </w:p>
        </w:tc>
        <w:tc>
          <w:tcPr>
            <w:tcW w:type="dxa" w:w="785"/>
          </w:tcPr>
          <w:p>
            <w:pPr>
              <w:jc w:val="right"/>
            </w:pPr>
            <w:r>
              <w:rPr>
                <w:rFonts w:ascii="宋体" w:hAnsi="宋体" w:eastAsia="宋体"/>
                <w:b w:val="0"/>
                <w:sz w:val="18"/>
              </w:rPr>
              <w:t>-258.00</w:t>
            </w:r>
          </w:p>
        </w:tc>
        <w:tc>
          <w:tcPr>
            <w:tcW w:type="dxa" w:w="785"/>
          </w:tcPr>
          <w:p>
            <w:pPr>
              <w:jc w:val="right"/>
            </w:pPr>
            <w:r>
              <w:rPr>
                <w:rFonts w:ascii="宋体" w:hAnsi="宋体" w:eastAsia="宋体"/>
                <w:b w:val="0"/>
                <w:sz w:val="18"/>
              </w:rPr>
              <w:t>-12.1%</w:t>
            </w:r>
          </w:p>
        </w:tc>
        <w:tc>
          <w:tcPr>
            <w:tcW w:type="dxa" w:w="785"/>
          </w:tcPr>
          <w:p>
            <w:pPr>
              <w:jc w:val="right"/>
            </w:pPr>
            <w:r>
              <w:rPr>
                <w:rFonts w:ascii="宋体" w:hAnsi="宋体" w:eastAsia="宋体"/>
                <w:b w:val="0"/>
                <w:sz w:val="18"/>
              </w:rPr>
              <w:t>2,021.00</w:t>
            </w:r>
          </w:p>
        </w:tc>
        <w:tc>
          <w:tcPr>
            <w:tcW w:type="dxa" w:w="785"/>
          </w:tcPr>
          <w:p>
            <w:pPr>
              <w:jc w:val="right"/>
            </w:pPr>
            <w:r>
              <w:rPr>
                <w:rFonts w:ascii="宋体" w:hAnsi="宋体" w:eastAsia="宋体"/>
                <w:b w:val="0"/>
                <w:sz w:val="18"/>
              </w:rPr>
              <w:t>141.00</w:t>
            </w:r>
          </w:p>
        </w:tc>
        <w:tc>
          <w:tcPr>
            <w:tcW w:type="dxa" w:w="785"/>
          </w:tcPr>
          <w:p>
            <w:pPr>
              <w:jc w:val="right"/>
            </w:pPr>
            <w:r>
              <w:rPr>
                <w:rFonts w:ascii="宋体" w:hAnsi="宋体" w:eastAsia="宋体"/>
                <w:b w:val="0"/>
                <w:sz w:val="18"/>
              </w:rPr>
              <w:t>+7.5%</w:t>
            </w:r>
          </w:p>
        </w:tc>
        <w:tc>
          <w:tcPr>
            <w:tcW w:type="dxa" w:w="785"/>
          </w:tcPr>
          <w:p>
            <w:pPr>
              <w:jc w:val="right"/>
            </w:pPr>
            <w:r>
              <w:rPr>
                <w:rFonts w:ascii="宋体" w:hAnsi="宋体" w:eastAsia="宋体"/>
                <w:b w:val="0"/>
                <w:sz w:val="18"/>
              </w:rPr>
              <w:t>2,031.80</w:t>
            </w:r>
          </w:p>
        </w:tc>
        <w:tc>
          <w:tcPr>
            <w:tcW w:type="dxa" w:w="785"/>
          </w:tcPr>
          <w:p>
            <w:pPr>
              <w:jc w:val="right"/>
            </w:pPr>
            <w:r>
              <w:rPr>
                <w:rFonts w:ascii="宋体" w:hAnsi="宋体" w:eastAsia="宋体"/>
                <w:b w:val="0"/>
                <w:sz w:val="18"/>
              </w:rPr>
              <w:t>10.80</w:t>
            </w:r>
          </w:p>
        </w:tc>
        <w:tc>
          <w:tcPr>
            <w:tcW w:type="dxa" w:w="785"/>
          </w:tcPr>
          <w:p>
            <w:pPr>
              <w:jc w:val="right"/>
            </w:pPr>
            <w:r>
              <w:rPr>
                <w:rFonts w:ascii="宋体" w:hAnsi="宋体" w:eastAsia="宋体"/>
                <w:b w:val="0"/>
                <w:sz w:val="18"/>
              </w:rPr>
              <w:t>+0.5%</w:t>
            </w:r>
          </w:p>
        </w:tc>
      </w:tr>
    </w:tbl>
    <w:p/>
    <w:p>
      <w:pPr>
        <w:spacing w:line="360" w:lineRule="auto" w:after="120"/>
        <w:ind w:firstLine="0"/>
      </w:pPr>
      <w:r>
        <w:rPr>
          <w:rFonts w:ascii="宋体" w:hAnsi="宋体" w:eastAsia="宋体"/>
          <w:b/>
          <w:sz w:val="24"/>
        </w:rPr>
        <w:t>非流动负债分析：</w:t>
      </w:r>
    </w:p>
    <w:p>
      <w:pPr>
        <w:spacing w:line="360" w:lineRule="auto" w:after="120"/>
        <w:ind w:firstLine="480"/>
      </w:pPr>
      <w:r>
        <w:rPr>
          <w:rFonts w:ascii="宋体" w:hAnsi="宋体" w:eastAsia="宋体"/>
          <w:b w:val="0"/>
          <w:sz w:val="24"/>
        </w:rPr>
        <w:t>① 长期借款：2023年末882.1亿元、2024年末612.4亿元（-30.6%）、2025年末51.02亿元（-91.7%）、2026Q1末47.70亿元（-6.5%）。长期借款大幅压缩反映公司在油价下跌周期中主动降低有息负债、优化资本结构。2025年末长期借款仅剩51亿元，几乎完全偿还。有息负债率（有息负债/总资产）从2023年末约10.1%降至2025年末约0.5%，财务杠杆极低。</w:t>
      </w:r>
    </w:p>
    <w:p>
      <w:pPr>
        <w:spacing w:line="360" w:lineRule="auto" w:after="120"/>
        <w:ind w:firstLine="480"/>
      </w:pPr>
      <w:r>
        <w:rPr>
          <w:rFonts w:ascii="宋体" w:hAnsi="宋体" w:eastAsia="宋体"/>
          <w:b w:val="0"/>
          <w:sz w:val="24"/>
        </w:rPr>
        <w:t>② 预计负债：2023年末970.9亿元、2024年末997.4亿元（+2.7%）、2025年末1,160亿元（+16.3%）。预计负债主要是油气田弃置、恢复和拆除拨备，随油气资产规模和服役年限增加而增长。2025年增加与产量增长、新油田投产有关。该科目是油气行业特有风险，需关注油价下跌时是否需补提拨备。但公司现金流充裕，长期来看拨备覆盖能力充足。</w:t>
      </w:r>
    </w:p>
    <w:p>
      <w:pPr>
        <w:spacing w:line="360" w:lineRule="auto" w:after="120"/>
        <w:ind w:firstLine="480"/>
      </w:pPr>
      <w:r>
        <w:rPr>
          <w:rFonts w:ascii="宋体" w:hAnsi="宋体" w:eastAsia="宋体"/>
          <w:b w:val="0"/>
          <w:sz w:val="24"/>
        </w:rPr>
        <w:t>③ 递延所得税负债：2023年末108.5亿元、2024年末125.2亿元（+15.4%）、2025年末135.9亿元（+8.5%）、2026Q1末146.2亿元（+7.6%）。递延所得税负债主要源于油气资产折旧差异（加速折旧法）和公允价值变动。持续增长反映油气资产折旧差异扩大，符合资本开支高峰期特征。</w:t>
      </w:r>
    </w:p>
    <w:p>
      <w:pPr>
        <w:spacing w:line="360" w:lineRule="auto" w:after="120"/>
        <w:ind w:firstLine="480"/>
      </w:pPr>
      <w:r>
        <w:rPr>
          <w:rFonts w:ascii="宋体" w:hAnsi="宋体" w:eastAsia="宋体"/>
          <w:b w:val="0"/>
          <w:sz w:val="24"/>
        </w:rPr>
        <w:t>④ 长期应付款：2024年末607.2亿元、2025年末568.6亿元（-6.4%）。主要包含融资租赁、专项应付款等。金额较大但呈下降趋势，反映公司逐步清理长期应付款项。</w:t>
      </w:r>
    </w:p>
    <w:p>
      <w:pPr>
        <w:spacing w:line="360" w:lineRule="auto" w:after="120"/>
        <w:ind w:firstLine="480"/>
      </w:pPr>
      <w:r>
        <w:rPr>
          <w:rFonts w:ascii="宋体" w:hAnsi="宋体" w:eastAsia="宋体"/>
          <w:b w:val="0"/>
          <w:sz w:val="24"/>
        </w:rPr>
        <w:t>⑤ 非流动负债合计：2023年末2,138亿元、2024年末1,880亿元（-12.1%）、2025年末2,021亿元（+7.5%）、2026Q1末2,032亿元（+0.5%）。2025年回升主要由预计负债增加驱动。非流动负债中无息负债（预计负债、递延所得税负债）占比很高，有息长期借款已大幅压缩，整体财务风险低。</w:t>
      </w:r>
    </w:p>
    <w:p>
      <w:pPr>
        <w:pStyle w:val="Heading2"/>
        <w:spacing w:before="240" w:after="120" w:line="360" w:lineRule="auto"/>
      </w:pPr>
      <w:r>
        <w:rPr>
          <w:rFonts w:ascii="黑体" w:hAnsi="黑体" w:eastAsia="黑体"/>
          <w:b/>
          <w:sz w:val="28"/>
        </w:rPr>
        <w:t>2.5 所有者权益深度分析</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科目</w:t>
            </w:r>
          </w:p>
        </w:tc>
        <w:tc>
          <w:tcPr>
            <w:tcW w:type="dxa" w:w="785"/>
          </w:tcPr>
          <w:p>
            <w:pPr>
              <w:jc w:val="center"/>
            </w:pPr>
            <w:r>
              <w:rPr>
                <w:rFonts w:ascii="黑体" w:hAnsi="黑体" w:eastAsia="黑体"/>
                <w:b/>
                <w:sz w:val="20"/>
              </w:rPr>
              <w:t>2023末</w:t>
            </w:r>
          </w:p>
        </w:tc>
        <w:tc>
          <w:tcPr>
            <w:tcW w:type="dxa" w:w="785"/>
          </w:tcPr>
          <w:p>
            <w:pPr>
              <w:jc w:val="center"/>
            </w:pPr>
            <w:r>
              <w:rPr>
                <w:rFonts w:ascii="黑体" w:hAnsi="黑体" w:eastAsia="黑体"/>
                <w:b/>
                <w:sz w:val="20"/>
              </w:rPr>
              <w:t>2024末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2025末</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c>
          <w:tcPr>
            <w:tcW w:type="dxa" w:w="785"/>
          </w:tcPr>
          <w:p>
            <w:pPr>
              <w:jc w:val="center"/>
            </w:pPr>
            <w:r>
              <w:rPr>
                <w:rFonts w:ascii="黑体" w:hAnsi="黑体" w:eastAsia="黑体"/>
                <w:b/>
                <w:sz w:val="20"/>
              </w:rPr>
              <w:t>2026Q1</w:t>
            </w:r>
          </w:p>
        </w:tc>
        <w:tc>
          <w:tcPr>
            <w:tcW w:type="dxa" w:w="785"/>
          </w:tcPr>
          <w:p>
            <w:pPr>
              <w:jc w:val="center"/>
            </w:pPr>
            <w:r>
              <w:rPr>
                <w:rFonts w:ascii="黑体" w:hAnsi="黑体" w:eastAsia="黑体"/>
                <w:b/>
                <w:sz w:val="20"/>
              </w:rPr>
              <w:t>净增</w:t>
            </w:r>
          </w:p>
        </w:tc>
        <w:tc>
          <w:tcPr>
            <w:tcW w:type="dxa" w:w="785"/>
          </w:tcPr>
          <w:p>
            <w:pPr>
              <w:jc w:val="center"/>
            </w:pPr>
            <w:r>
              <w:rPr>
                <w:rFonts w:ascii="黑体" w:hAnsi="黑体" w:eastAsia="黑体"/>
                <w:b/>
                <w:sz w:val="20"/>
              </w:rPr>
              <w:t>增长率</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黑体" w:hAnsi="黑体" w:eastAsia="黑体"/>
                <w:b/>
                <w:sz w:val="20"/>
              </w:rPr>
              <w:t>实收资本(股本)</w:t>
            </w:r>
          </w:p>
        </w:tc>
        <w:tc>
          <w:tcPr>
            <w:tcW w:type="dxa" w:w="785"/>
          </w:tcPr>
          <w:p>
            <w:pPr>
              <w:jc w:val="center"/>
            </w:pPr>
            <w:r>
              <w:rPr>
                <w:rFonts w:ascii="黑体" w:hAnsi="黑体" w:eastAsia="黑体"/>
                <w:b/>
                <w:sz w:val="20"/>
              </w:rPr>
              <w:t>751.80</w:t>
            </w:r>
          </w:p>
        </w:tc>
        <w:tc>
          <w:tcPr>
            <w:tcW w:type="dxa" w:w="785"/>
          </w:tcPr>
          <w:p>
            <w:pPr>
              <w:jc w:val="center"/>
            </w:pPr>
            <w:r>
              <w:rPr>
                <w:rFonts w:ascii="黑体" w:hAnsi="黑体" w:eastAsia="黑体"/>
                <w:b/>
                <w:sz w:val="20"/>
              </w:rPr>
              <w:t>751.80</w:t>
            </w:r>
          </w:p>
        </w:tc>
        <w:tc>
          <w:tcPr>
            <w:tcW w:type="dxa" w:w="785"/>
          </w:tcPr>
          <w:p>
            <w:pPr>
              <w:jc w:val="center"/>
            </w:pPr>
            <w:r>
              <w:rPr>
                <w:rFonts w:ascii="黑体" w:hAnsi="黑体" w:eastAsia="黑体"/>
                <w:b/>
                <w:sz w:val="20"/>
              </w:rPr>
              <w:t>0.00</w:t>
            </w:r>
          </w:p>
        </w:tc>
        <w:tc>
          <w:tcPr>
            <w:tcW w:type="dxa" w:w="785"/>
          </w:tcPr>
          <w:p>
            <w:pPr>
              <w:jc w:val="center"/>
            </w:pPr>
            <w:r>
              <w:rPr>
                <w:rFonts w:ascii="黑体" w:hAnsi="黑体" w:eastAsia="黑体"/>
                <w:b/>
                <w:sz w:val="20"/>
              </w:rPr>
              <w:t>+0.0%</w:t>
            </w:r>
          </w:p>
        </w:tc>
        <w:tc>
          <w:tcPr>
            <w:tcW w:type="dxa" w:w="785"/>
          </w:tcPr>
          <w:p>
            <w:pPr>
              <w:jc w:val="center"/>
            </w:pPr>
            <w:r>
              <w:rPr>
                <w:rFonts w:ascii="黑体" w:hAnsi="黑体" w:eastAsia="黑体"/>
                <w:b/>
                <w:sz w:val="20"/>
              </w:rPr>
              <w:t>751.80</w:t>
            </w:r>
          </w:p>
        </w:tc>
        <w:tc>
          <w:tcPr>
            <w:tcW w:type="dxa" w:w="785"/>
          </w:tcPr>
          <w:p>
            <w:pPr>
              <w:jc w:val="center"/>
            </w:pPr>
            <w:r>
              <w:rPr>
                <w:rFonts w:ascii="黑体" w:hAnsi="黑体" w:eastAsia="黑体"/>
                <w:b/>
                <w:sz w:val="20"/>
              </w:rPr>
              <w:t>0.00</w:t>
            </w:r>
          </w:p>
        </w:tc>
        <w:tc>
          <w:tcPr>
            <w:tcW w:type="dxa" w:w="785"/>
          </w:tcPr>
          <w:p>
            <w:pPr>
              <w:jc w:val="center"/>
            </w:pPr>
            <w:r>
              <w:rPr>
                <w:rFonts w:ascii="黑体" w:hAnsi="黑体" w:eastAsia="黑体"/>
                <w:b/>
                <w:sz w:val="20"/>
              </w:rPr>
              <w:t>+0.0%</w:t>
            </w:r>
          </w:p>
        </w:tc>
        <w:tc>
          <w:tcPr>
            <w:tcW w:type="dxa" w:w="785"/>
          </w:tcPr>
          <w:p>
            <w:pPr>
              <w:jc w:val="center"/>
            </w:pPr>
            <w:r>
              <w:rPr>
                <w:rFonts w:ascii="黑体" w:hAnsi="黑体" w:eastAsia="黑体"/>
                <w:b/>
                <w:sz w:val="20"/>
              </w:rPr>
              <w:t>751.80</w:t>
            </w:r>
          </w:p>
        </w:tc>
        <w:tc>
          <w:tcPr>
            <w:tcW w:type="dxa" w:w="785"/>
          </w:tcPr>
          <w:p>
            <w:pPr>
              <w:jc w:val="center"/>
            </w:pPr>
            <w:r>
              <w:rPr>
                <w:rFonts w:ascii="黑体" w:hAnsi="黑体" w:eastAsia="黑体"/>
                <w:b/>
                <w:sz w:val="20"/>
              </w:rPr>
              <w:t>0.00</w:t>
            </w:r>
          </w:p>
        </w:tc>
        <w:tc>
          <w:tcPr>
            <w:tcW w:type="dxa" w:w="785"/>
          </w:tcPr>
          <w:p>
            <w:pPr>
              <w:jc w:val="center"/>
            </w:pPr>
            <w:r>
              <w:rPr>
                <w:rFonts w:ascii="黑体" w:hAnsi="黑体" w:eastAsia="黑体"/>
                <w:b/>
                <w:sz w:val="20"/>
              </w:rPr>
              <w:t>+0.0%</w:t>
            </w:r>
          </w:p>
        </w:tc>
      </w:tr>
      <w:tr>
        <w:tc>
          <w:tcPr>
            <w:tcW w:type="dxa" w:w="785"/>
          </w:tcPr>
          <w:p>
            <w:pPr>
              <w:jc w:val="right"/>
            </w:pPr>
            <w:r>
              <w:rPr>
                <w:rFonts w:ascii="宋体" w:hAnsi="宋体" w:eastAsia="宋体"/>
                <w:b w:val="0"/>
                <w:sz w:val="18"/>
              </w:rPr>
              <w:t>减：库存股</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其他综合收益</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1.39</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28.34</w:t>
            </w:r>
          </w:p>
        </w:tc>
        <w:tc>
          <w:tcPr>
            <w:tcW w:type="dxa" w:w="785"/>
          </w:tcPr>
          <w:p>
            <w:pPr>
              <w:jc w:val="right"/>
            </w:pPr>
            <w:r>
              <w:rPr>
                <w:rFonts w:ascii="宋体" w:hAnsi="宋体" w:eastAsia="宋体"/>
                <w:b w:val="0"/>
                <w:sz w:val="18"/>
              </w:rPr>
              <w:t>26.95</w:t>
            </w:r>
          </w:p>
        </w:tc>
        <w:tc>
          <w:tcPr>
            <w:tcW w:type="dxa" w:w="785"/>
          </w:tcPr>
          <w:p>
            <w:pPr>
              <w:jc w:val="right"/>
            </w:pPr>
            <w:r>
              <w:rPr>
                <w:rFonts w:ascii="宋体" w:hAnsi="宋体" w:eastAsia="宋体"/>
                <w:b w:val="0"/>
                <w:sz w:val="18"/>
              </w:rPr>
              <w:t>+1938.8%</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专项储备</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0.27</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0.16</w:t>
            </w:r>
          </w:p>
        </w:tc>
        <w:tc>
          <w:tcPr>
            <w:tcW w:type="dxa" w:w="785"/>
          </w:tcPr>
          <w:p>
            <w:pPr>
              <w:jc w:val="right"/>
            </w:pPr>
            <w:r>
              <w:rPr>
                <w:rFonts w:ascii="宋体" w:hAnsi="宋体" w:eastAsia="宋体"/>
                <w:b w:val="0"/>
                <w:sz w:val="18"/>
              </w:rPr>
              <w:t>-0.11</w:t>
            </w:r>
          </w:p>
        </w:tc>
        <w:tc>
          <w:tcPr>
            <w:tcW w:type="dxa" w:w="785"/>
          </w:tcPr>
          <w:p>
            <w:pPr>
              <w:jc w:val="right"/>
            </w:pPr>
            <w:r>
              <w:rPr>
                <w:rFonts w:ascii="宋体" w:hAnsi="宋体" w:eastAsia="宋体"/>
                <w:b w:val="0"/>
                <w:sz w:val="18"/>
              </w:rPr>
              <w:t>-40.7%</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盈余公积</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未分配利润</w:t>
            </w:r>
          </w:p>
        </w:tc>
        <w:tc>
          <w:tcPr>
            <w:tcW w:type="dxa" w:w="785"/>
          </w:tcPr>
          <w:p>
            <w:pPr>
              <w:jc w:val="right"/>
            </w:pPr>
            <w:r>
              <w:rPr>
                <w:rFonts w:ascii="宋体" w:hAnsi="宋体" w:eastAsia="宋体"/>
                <w:b w:val="0"/>
                <w:sz w:val="18"/>
              </w:rPr>
              <w:t>5,153.00</w:t>
            </w:r>
          </w:p>
        </w:tc>
        <w:tc>
          <w:tcPr>
            <w:tcW w:type="dxa" w:w="785"/>
          </w:tcPr>
          <w:p>
            <w:pPr>
              <w:jc w:val="right"/>
            </w:pPr>
            <w:r>
              <w:rPr>
                <w:rFonts w:ascii="宋体" w:hAnsi="宋体" w:eastAsia="宋体"/>
                <w:b w:val="0"/>
                <w:sz w:val="18"/>
              </w:rPr>
              <w:t>5,901.00</w:t>
            </w:r>
          </w:p>
        </w:tc>
        <w:tc>
          <w:tcPr>
            <w:tcW w:type="dxa" w:w="785"/>
          </w:tcPr>
          <w:p>
            <w:pPr>
              <w:jc w:val="right"/>
            </w:pPr>
            <w:r>
              <w:rPr>
                <w:rFonts w:ascii="宋体" w:hAnsi="宋体" w:eastAsia="宋体"/>
                <w:b w:val="0"/>
                <w:sz w:val="18"/>
              </w:rPr>
              <w:t>748.00</w:t>
            </w:r>
          </w:p>
        </w:tc>
        <w:tc>
          <w:tcPr>
            <w:tcW w:type="dxa" w:w="785"/>
          </w:tcPr>
          <w:p>
            <w:pPr>
              <w:jc w:val="right"/>
            </w:pPr>
            <w:r>
              <w:rPr>
                <w:rFonts w:ascii="宋体" w:hAnsi="宋体" w:eastAsia="宋体"/>
                <w:b w:val="0"/>
                <w:sz w:val="18"/>
              </w:rPr>
              <w:t>+14.5%</w:t>
            </w:r>
          </w:p>
        </w:tc>
        <w:tc>
          <w:tcPr>
            <w:tcW w:type="dxa" w:w="785"/>
          </w:tcPr>
          <w:p>
            <w:pPr>
              <w:jc w:val="right"/>
            </w:pPr>
            <w:r>
              <w:rPr>
                <w:rFonts w:ascii="宋体" w:hAnsi="宋体" w:eastAsia="宋体"/>
                <w:b w:val="0"/>
                <w:sz w:val="18"/>
              </w:rPr>
              <w:t>6,519.00</w:t>
            </w:r>
          </w:p>
        </w:tc>
        <w:tc>
          <w:tcPr>
            <w:tcW w:type="dxa" w:w="785"/>
          </w:tcPr>
          <w:p>
            <w:pPr>
              <w:jc w:val="right"/>
            </w:pPr>
            <w:r>
              <w:rPr>
                <w:rFonts w:ascii="宋体" w:hAnsi="宋体" w:eastAsia="宋体"/>
                <w:b w:val="0"/>
                <w:sz w:val="18"/>
              </w:rPr>
              <w:t>618.00</w:t>
            </w:r>
          </w:p>
        </w:tc>
        <w:tc>
          <w:tcPr>
            <w:tcW w:type="dxa" w:w="785"/>
          </w:tcPr>
          <w:p>
            <w:pPr>
              <w:jc w:val="right"/>
            </w:pPr>
            <w:r>
              <w:rPr>
                <w:rFonts w:ascii="宋体" w:hAnsi="宋体" w:eastAsia="宋体"/>
                <w:b w:val="0"/>
                <w:sz w:val="18"/>
              </w:rPr>
              <w:t>+10.5%</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c>
          <w:tcPr>
            <w:tcW w:type="dxa" w:w="785"/>
          </w:tcPr>
          <w:p>
            <w:pPr>
              <w:jc w:val="right"/>
            </w:pPr>
            <w:r>
              <w:rPr>
                <w:rFonts w:ascii="宋体" w:hAnsi="宋体" w:eastAsia="宋体"/>
                <w:b w:val="0"/>
                <w:sz w:val="18"/>
              </w:rPr>
              <w:t>—</w:t>
            </w:r>
          </w:p>
        </w:tc>
      </w:tr>
      <w:tr>
        <w:tc>
          <w:tcPr>
            <w:tcW w:type="dxa" w:w="785"/>
          </w:tcPr>
          <w:p>
            <w:pPr>
              <w:jc w:val="right"/>
            </w:pPr>
            <w:r>
              <w:rPr>
                <w:rFonts w:ascii="宋体" w:hAnsi="宋体" w:eastAsia="宋体"/>
                <w:b w:val="0"/>
                <w:sz w:val="18"/>
              </w:rPr>
              <w:t>归母所有者权益合计</w:t>
            </w:r>
          </w:p>
        </w:tc>
        <w:tc>
          <w:tcPr>
            <w:tcW w:type="dxa" w:w="785"/>
          </w:tcPr>
          <w:p>
            <w:pPr>
              <w:jc w:val="right"/>
            </w:pPr>
            <w:r>
              <w:rPr>
                <w:rFonts w:ascii="宋体" w:hAnsi="宋体" w:eastAsia="宋体"/>
                <w:b w:val="0"/>
                <w:sz w:val="18"/>
              </w:rPr>
              <w:t>6,666.00</w:t>
            </w:r>
          </w:p>
        </w:tc>
        <w:tc>
          <w:tcPr>
            <w:tcW w:type="dxa" w:w="785"/>
          </w:tcPr>
          <w:p>
            <w:pPr>
              <w:jc w:val="right"/>
            </w:pPr>
            <w:r>
              <w:rPr>
                <w:rFonts w:ascii="宋体" w:hAnsi="宋体" w:eastAsia="宋体"/>
                <w:b w:val="0"/>
                <w:sz w:val="18"/>
              </w:rPr>
              <w:t>7,475.00</w:t>
            </w:r>
          </w:p>
        </w:tc>
        <w:tc>
          <w:tcPr>
            <w:tcW w:type="dxa" w:w="785"/>
          </w:tcPr>
          <w:p>
            <w:pPr>
              <w:jc w:val="right"/>
            </w:pPr>
            <w:r>
              <w:rPr>
                <w:rFonts w:ascii="宋体" w:hAnsi="宋体" w:eastAsia="宋体"/>
                <w:b w:val="0"/>
                <w:sz w:val="18"/>
              </w:rPr>
              <w:t>809.00</w:t>
            </w:r>
          </w:p>
        </w:tc>
        <w:tc>
          <w:tcPr>
            <w:tcW w:type="dxa" w:w="785"/>
          </w:tcPr>
          <w:p>
            <w:pPr>
              <w:jc w:val="right"/>
            </w:pPr>
            <w:r>
              <w:rPr>
                <w:rFonts w:ascii="宋体" w:hAnsi="宋体" w:eastAsia="宋体"/>
                <w:b w:val="0"/>
                <w:sz w:val="18"/>
              </w:rPr>
              <w:t>+12.1%</w:t>
            </w:r>
          </w:p>
        </w:tc>
        <w:tc>
          <w:tcPr>
            <w:tcW w:type="dxa" w:w="785"/>
          </w:tcPr>
          <w:p>
            <w:pPr>
              <w:jc w:val="right"/>
            </w:pPr>
            <w:r>
              <w:rPr>
                <w:rFonts w:ascii="宋体" w:hAnsi="宋体" w:eastAsia="宋体"/>
                <w:b w:val="0"/>
                <w:sz w:val="18"/>
              </w:rPr>
              <w:t>8,028.00</w:t>
            </w:r>
          </w:p>
        </w:tc>
        <w:tc>
          <w:tcPr>
            <w:tcW w:type="dxa" w:w="785"/>
          </w:tcPr>
          <w:p>
            <w:pPr>
              <w:jc w:val="right"/>
            </w:pPr>
            <w:r>
              <w:rPr>
                <w:rFonts w:ascii="宋体" w:hAnsi="宋体" w:eastAsia="宋体"/>
                <w:b w:val="0"/>
                <w:sz w:val="18"/>
              </w:rPr>
              <w:t>553.00</w:t>
            </w:r>
          </w:p>
        </w:tc>
        <w:tc>
          <w:tcPr>
            <w:tcW w:type="dxa" w:w="785"/>
          </w:tcPr>
          <w:p>
            <w:pPr>
              <w:jc w:val="right"/>
            </w:pPr>
            <w:r>
              <w:rPr>
                <w:rFonts w:ascii="宋体" w:hAnsi="宋体" w:eastAsia="宋体"/>
                <w:b w:val="0"/>
                <w:sz w:val="18"/>
              </w:rPr>
              <w:t>+7.4%</w:t>
            </w:r>
          </w:p>
        </w:tc>
        <w:tc>
          <w:tcPr>
            <w:tcW w:type="dxa" w:w="785"/>
          </w:tcPr>
          <w:p>
            <w:pPr>
              <w:jc w:val="right"/>
            </w:pPr>
            <w:r>
              <w:rPr>
                <w:rFonts w:ascii="宋体" w:hAnsi="宋体" w:eastAsia="宋体"/>
                <w:b w:val="0"/>
                <w:sz w:val="18"/>
              </w:rPr>
              <w:t>8,395.76</w:t>
            </w:r>
          </w:p>
        </w:tc>
        <w:tc>
          <w:tcPr>
            <w:tcW w:type="dxa" w:w="785"/>
          </w:tcPr>
          <w:p>
            <w:pPr>
              <w:jc w:val="right"/>
            </w:pPr>
            <w:r>
              <w:rPr>
                <w:rFonts w:ascii="宋体" w:hAnsi="宋体" w:eastAsia="宋体"/>
                <w:b w:val="0"/>
                <w:sz w:val="18"/>
              </w:rPr>
              <w:t>367.76</w:t>
            </w:r>
          </w:p>
        </w:tc>
        <w:tc>
          <w:tcPr>
            <w:tcW w:type="dxa" w:w="785"/>
          </w:tcPr>
          <w:p>
            <w:pPr>
              <w:jc w:val="right"/>
            </w:pPr>
            <w:r>
              <w:rPr>
                <w:rFonts w:ascii="宋体" w:hAnsi="宋体" w:eastAsia="宋体"/>
                <w:b w:val="0"/>
                <w:sz w:val="18"/>
              </w:rPr>
              <w:t>+4.6%</w:t>
            </w:r>
          </w:p>
        </w:tc>
      </w:tr>
      <w:tr>
        <w:tc>
          <w:tcPr>
            <w:tcW w:type="dxa" w:w="785"/>
          </w:tcPr>
          <w:p>
            <w:pPr>
              <w:jc w:val="right"/>
            </w:pPr>
            <w:r>
              <w:rPr>
                <w:rFonts w:ascii="宋体" w:hAnsi="宋体" w:eastAsia="宋体"/>
                <w:b w:val="0"/>
                <w:sz w:val="18"/>
              </w:rPr>
              <w:t>少数股东权益</w:t>
            </w:r>
          </w:p>
        </w:tc>
        <w:tc>
          <w:tcPr>
            <w:tcW w:type="dxa" w:w="785"/>
          </w:tcPr>
          <w:p>
            <w:pPr>
              <w:jc w:val="right"/>
            </w:pPr>
            <w:r>
              <w:rPr>
                <w:rFonts w:ascii="宋体" w:hAnsi="宋体" w:eastAsia="宋体"/>
                <w:b w:val="0"/>
                <w:sz w:val="18"/>
              </w:rPr>
              <w:t>12.90</w:t>
            </w:r>
          </w:p>
        </w:tc>
        <w:tc>
          <w:tcPr>
            <w:tcW w:type="dxa" w:w="785"/>
          </w:tcPr>
          <w:p>
            <w:pPr>
              <w:jc w:val="right"/>
            </w:pPr>
            <w:r>
              <w:rPr>
                <w:rFonts w:ascii="宋体" w:hAnsi="宋体" w:eastAsia="宋体"/>
                <w:b w:val="0"/>
                <w:sz w:val="18"/>
              </w:rPr>
              <w:t>18.88</w:t>
            </w:r>
          </w:p>
        </w:tc>
        <w:tc>
          <w:tcPr>
            <w:tcW w:type="dxa" w:w="785"/>
          </w:tcPr>
          <w:p>
            <w:pPr>
              <w:jc w:val="right"/>
            </w:pPr>
            <w:r>
              <w:rPr>
                <w:rFonts w:ascii="宋体" w:hAnsi="宋体" w:eastAsia="宋体"/>
                <w:b w:val="0"/>
                <w:sz w:val="18"/>
              </w:rPr>
              <w:t>5.98</w:t>
            </w:r>
          </w:p>
        </w:tc>
        <w:tc>
          <w:tcPr>
            <w:tcW w:type="dxa" w:w="785"/>
          </w:tcPr>
          <w:p>
            <w:pPr>
              <w:jc w:val="right"/>
            </w:pPr>
            <w:r>
              <w:rPr>
                <w:rFonts w:ascii="宋体" w:hAnsi="宋体" w:eastAsia="宋体"/>
                <w:b w:val="0"/>
                <w:sz w:val="18"/>
              </w:rPr>
              <w:t>+46.4%</w:t>
            </w:r>
          </w:p>
        </w:tc>
        <w:tc>
          <w:tcPr>
            <w:tcW w:type="dxa" w:w="785"/>
          </w:tcPr>
          <w:p>
            <w:pPr>
              <w:jc w:val="right"/>
            </w:pPr>
            <w:r>
              <w:rPr>
                <w:rFonts w:ascii="宋体" w:hAnsi="宋体" w:eastAsia="宋体"/>
                <w:b w:val="0"/>
                <w:sz w:val="18"/>
              </w:rPr>
              <w:t>24.34</w:t>
            </w:r>
          </w:p>
        </w:tc>
        <w:tc>
          <w:tcPr>
            <w:tcW w:type="dxa" w:w="785"/>
          </w:tcPr>
          <w:p>
            <w:pPr>
              <w:jc w:val="right"/>
            </w:pPr>
            <w:r>
              <w:rPr>
                <w:rFonts w:ascii="宋体" w:hAnsi="宋体" w:eastAsia="宋体"/>
                <w:b w:val="0"/>
                <w:sz w:val="18"/>
              </w:rPr>
              <w:t>5.46</w:t>
            </w:r>
          </w:p>
        </w:tc>
        <w:tc>
          <w:tcPr>
            <w:tcW w:type="dxa" w:w="785"/>
          </w:tcPr>
          <w:p>
            <w:pPr>
              <w:jc w:val="right"/>
            </w:pPr>
            <w:r>
              <w:rPr>
                <w:rFonts w:ascii="宋体" w:hAnsi="宋体" w:eastAsia="宋体"/>
                <w:b w:val="0"/>
                <w:sz w:val="18"/>
              </w:rPr>
              <w:t>+28.9%</w:t>
            </w:r>
          </w:p>
        </w:tc>
        <w:tc>
          <w:tcPr>
            <w:tcW w:type="dxa" w:w="785"/>
          </w:tcPr>
          <w:p>
            <w:pPr>
              <w:jc w:val="right"/>
            </w:pPr>
            <w:r>
              <w:rPr>
                <w:rFonts w:ascii="宋体" w:hAnsi="宋体" w:eastAsia="宋体"/>
                <w:b w:val="0"/>
                <w:sz w:val="18"/>
              </w:rPr>
              <w:t>24.74</w:t>
            </w:r>
          </w:p>
        </w:tc>
        <w:tc>
          <w:tcPr>
            <w:tcW w:type="dxa" w:w="785"/>
          </w:tcPr>
          <w:p>
            <w:pPr>
              <w:jc w:val="right"/>
            </w:pPr>
            <w:r>
              <w:rPr>
                <w:rFonts w:ascii="宋体" w:hAnsi="宋体" w:eastAsia="宋体"/>
                <w:b w:val="0"/>
                <w:sz w:val="18"/>
              </w:rPr>
              <w:t>0.40</w:t>
            </w:r>
          </w:p>
        </w:tc>
        <w:tc>
          <w:tcPr>
            <w:tcW w:type="dxa" w:w="785"/>
          </w:tcPr>
          <w:p>
            <w:pPr>
              <w:jc w:val="right"/>
            </w:pPr>
            <w:r>
              <w:rPr>
                <w:rFonts w:ascii="宋体" w:hAnsi="宋体" w:eastAsia="宋体"/>
                <w:b w:val="0"/>
                <w:sz w:val="18"/>
              </w:rPr>
              <w:t>+1.6%</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科目</w:t>
            </w:r>
          </w:p>
        </w:tc>
        <w:tc>
          <w:tcPr>
            <w:tcW w:type="dxa" w:w="1728"/>
          </w:tcPr>
          <w:p>
            <w:pPr>
              <w:jc w:val="center"/>
            </w:pPr>
            <w:r>
              <w:rPr>
                <w:rFonts w:ascii="黑体" w:hAnsi="黑体" w:eastAsia="黑体"/>
                <w:b/>
                <w:sz w:val="20"/>
              </w:rPr>
              <w:t>2023末</w:t>
            </w:r>
          </w:p>
        </w:tc>
        <w:tc>
          <w:tcPr>
            <w:tcW w:type="dxa" w:w="1728"/>
          </w:tcPr>
          <w:p>
            <w:pPr>
              <w:jc w:val="center"/>
            </w:pPr>
            <w:r>
              <w:rPr>
                <w:rFonts w:ascii="黑体" w:hAnsi="黑体" w:eastAsia="黑体"/>
                <w:b/>
                <w:sz w:val="20"/>
              </w:rPr>
              <w:t>2024末</w:t>
            </w:r>
          </w:p>
        </w:tc>
        <w:tc>
          <w:tcPr>
            <w:tcW w:type="dxa" w:w="1728"/>
          </w:tcPr>
          <w:p>
            <w:pPr>
              <w:jc w:val="center"/>
            </w:pPr>
            <w:r>
              <w:rPr>
                <w:rFonts w:ascii="黑体" w:hAnsi="黑体" w:eastAsia="黑体"/>
                <w:b/>
                <w:sz w:val="20"/>
              </w:rPr>
              <w:t>2025末</w:t>
            </w:r>
          </w:p>
        </w:tc>
        <w:tc>
          <w:tcPr>
            <w:tcW w:type="dxa" w:w="1728"/>
          </w:tcPr>
          <w:p>
            <w:pPr>
              <w:jc w:val="center"/>
            </w:pPr>
            <w:r>
              <w:rPr>
                <w:rFonts w:ascii="黑体" w:hAnsi="黑体" w:eastAsia="黑体"/>
                <w:b/>
                <w:sz w:val="20"/>
              </w:rPr>
              <w:t>2026Q1</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负债合计</w:t>
            </w:r>
          </w:p>
        </w:tc>
        <w:tc>
          <w:tcPr>
            <w:tcW w:type="dxa" w:w="1728"/>
          </w:tcPr>
          <w:p>
            <w:pPr>
              <w:jc w:val="center"/>
            </w:pPr>
            <w:r>
              <w:rPr>
                <w:rFonts w:ascii="黑体" w:hAnsi="黑体" w:eastAsia="黑体"/>
                <w:b/>
                <w:sz w:val="20"/>
              </w:rPr>
              <w:t>3,377.00</w:t>
            </w:r>
          </w:p>
        </w:tc>
        <w:tc>
          <w:tcPr>
            <w:tcW w:type="dxa" w:w="1728"/>
          </w:tcPr>
          <w:p>
            <w:pPr>
              <w:jc w:val="center"/>
            </w:pPr>
            <w:r>
              <w:rPr>
                <w:rFonts w:ascii="黑体" w:hAnsi="黑体" w:eastAsia="黑体"/>
                <w:b/>
                <w:sz w:val="20"/>
              </w:rPr>
              <w:t>3,068.00</w:t>
            </w:r>
          </w:p>
        </w:tc>
        <w:tc>
          <w:tcPr>
            <w:tcW w:type="dxa" w:w="1728"/>
          </w:tcPr>
          <w:p>
            <w:pPr>
              <w:jc w:val="center"/>
            </w:pPr>
            <w:r>
              <w:rPr>
                <w:rFonts w:ascii="黑体" w:hAnsi="黑体" w:eastAsia="黑体"/>
                <w:b/>
                <w:sz w:val="20"/>
              </w:rPr>
              <w:t>2,934.00</w:t>
            </w:r>
          </w:p>
        </w:tc>
        <w:tc>
          <w:tcPr>
            <w:tcW w:type="dxa" w:w="1728"/>
          </w:tcPr>
          <w:p>
            <w:pPr>
              <w:jc w:val="center"/>
            </w:pPr>
            <w:r>
              <w:rPr>
                <w:rFonts w:ascii="黑体" w:hAnsi="黑体" w:eastAsia="黑体"/>
                <w:b/>
                <w:sz w:val="20"/>
              </w:rPr>
              <w:t>3,119.87</w:t>
            </w:r>
          </w:p>
        </w:tc>
      </w:tr>
    </w:tbl>
    <w:p/>
    <w:p>
      <w:pPr>
        <w:spacing w:line="360" w:lineRule="auto" w:after="120"/>
        <w:ind w:firstLine="0"/>
      </w:pPr>
      <w:r>
        <w:rPr>
          <w:rFonts w:ascii="宋体" w:hAnsi="宋体" w:eastAsia="宋体"/>
          <w:b/>
          <w:sz w:val="24"/>
        </w:rPr>
        <w:t>所有者权益分析：</w:t>
      </w:r>
    </w:p>
    <w:p>
      <w:pPr>
        <w:spacing w:line="360" w:lineRule="auto" w:after="120"/>
        <w:ind w:firstLine="480"/>
      </w:pPr>
      <w:r>
        <w:rPr>
          <w:rFonts w:ascii="宋体" w:hAnsi="宋体" w:eastAsia="宋体"/>
          <w:b w:val="0"/>
          <w:sz w:val="24"/>
        </w:rPr>
        <w:t>① 实收资本（股本）：2023-2026Q1均为751.8亿元，保持稳定。中国海油自2022年A股上市以来未进行增发或配股，股本稀释风险低。总股本475.3亿股，EPS稳定性较好。</w:t>
      </w:r>
    </w:p>
    <w:p>
      <w:pPr>
        <w:spacing w:line="360" w:lineRule="auto" w:after="120"/>
        <w:ind w:firstLine="480"/>
      </w:pPr>
      <w:r>
        <w:rPr>
          <w:rFonts w:ascii="宋体" w:hAnsi="宋体" w:eastAsia="宋体"/>
          <w:b w:val="0"/>
          <w:sz w:val="24"/>
        </w:rPr>
        <w:t>② 未分配利润：从2023年末5,153亿元增至2024年末5,901亿元（+14.5%），2025年末6,519亿元（+10.5%）。未分配利润持续累积，是公司高分红的基础。2025年分红约550亿元（45%分红率），期末未分配利润仍增长10.5%，显示利润留存与分红平衡良好。2025年资产负债率26.7%，带息负债占总资产比例极低，财务杠杆健康。</w:t>
      </w:r>
    </w:p>
    <w:p>
      <w:pPr>
        <w:spacing w:line="360" w:lineRule="auto" w:after="120"/>
        <w:ind w:firstLine="480"/>
      </w:pPr>
      <w:r>
        <w:rPr>
          <w:rFonts w:ascii="宋体" w:hAnsi="宋体" w:eastAsia="宋体"/>
          <w:b w:val="0"/>
          <w:sz w:val="24"/>
        </w:rPr>
        <w:t>③ 归母所有者权益合计：从2023年末6,666亿元增至2024年末7,475亿元（+12.1%），2025年末8,028亿元（+7.4%），2026Q1末8,396亿元（+4.6%）。净资产增长主要来自未分配利润累积。2025年ROE为15.64%，较2024年19.36%下降，主要因净利润下滑。</w:t>
      </w:r>
    </w:p>
    <w:p>
      <w:pPr>
        <w:spacing w:line="360" w:lineRule="auto" w:after="120"/>
        <w:ind w:firstLine="480"/>
      </w:pPr>
      <w:r>
        <w:rPr>
          <w:rFonts w:ascii="宋体" w:hAnsi="宋体" w:eastAsia="宋体"/>
          <w:b w:val="0"/>
          <w:sz w:val="24"/>
        </w:rPr>
        <w:t>④ 少数股东权益：2023年末12.9亿元、2024年末18.88亿元（+46.4%）、2025年末24.34亿元（+28.9%）、2026Q1末24.74亿元（+1.6%）。少数股东权益占比较小，主要来源于非全资子公司。持续增长与海外项目合资、国内子公司引入战略投资者有关。</w:t>
      </w:r>
    </w:p>
    <w:p>
      <w:pPr>
        <w:spacing w:line="360" w:lineRule="auto" w:after="120"/>
        <w:ind w:firstLine="480"/>
      </w:pPr>
      <w:r>
        <w:rPr>
          <w:rFonts w:ascii="宋体" w:hAnsi="宋体" w:eastAsia="宋体"/>
          <w:b w:val="0"/>
          <w:sz w:val="24"/>
        </w:rPr>
        <w:t>⑤ 资产负债率与带息负债：资产负债率从2023年末33.6%降至2024年末29.0%、2025年末26.7%、2026Q1末27.1%。带息负债（短期借款+长期借款+应付债券）占总资产比例从2023年末约10.1%骤降至2025年末约0.5%。这反映公司在油价下跌周期中主动去杠杆，财务结构极度稳健。低负债率为公司提供了充足财务弹性，可在油价低位继续执行资本开支计划而不依赖外部融资。</w:t>
      </w:r>
    </w:p>
    <w:p>
      <w:pPr>
        <w:jc w:val="center"/>
      </w:pPr>
      <w:r>
        <w:drawing>
          <wp:inline xmlns:a="http://schemas.openxmlformats.org/drawingml/2006/main" xmlns:pic="http://schemas.openxmlformats.org/drawingml/2006/picture">
            <wp:extent cx="5029200" cy="3303925"/>
            <wp:docPr id="3" name="Picture 3"/>
            <wp:cNvGraphicFramePr>
              <a:graphicFrameLocks noChangeAspect="1"/>
            </wp:cNvGraphicFramePr>
            <a:graphic>
              <a:graphicData uri="http://schemas.openxmlformats.org/drawingml/2006/picture">
                <pic:pic>
                  <pic:nvPicPr>
                    <pic:cNvPr id="0" name="chart_2_2_debt_ratio.png"/>
                    <pic:cNvPicPr/>
                  </pic:nvPicPr>
                  <pic:blipFill>
                    <a:blip r:embed="rId11"/>
                    <a:stretch>
                      <a:fillRect/>
                    </a:stretch>
                  </pic:blipFill>
                  <pic:spPr>
                    <a:xfrm>
                      <a:off x="0" y="0"/>
                      <a:ext cx="5029200" cy="3303925"/>
                    </a:xfrm>
                    <a:prstGeom prst="rect"/>
                  </pic:spPr>
                </pic:pic>
              </a:graphicData>
            </a:graphic>
          </wp:inline>
        </w:drawing>
      </w:r>
    </w:p>
    <w:p/>
    <w:p>
      <w:pPr>
        <w:spacing w:line="360" w:lineRule="auto" w:after="120"/>
        <w:ind w:firstLine="480"/>
      </w:pPr>
      <w:r>
        <w:rPr>
          <w:rFonts w:ascii="宋体" w:hAnsi="宋体" w:eastAsia="宋体"/>
          <w:b w:val="0"/>
          <w:sz w:val="24"/>
        </w:rPr>
        <w:t>⑥ 营运资本结构：公司营运净资产（应收账款+存货-应付账款）持续为负，2025年末应收账款330亿+存货61亿-应付账款596亿=-205亿元，即公司实际上无息占用供应商资金约205亿元。这种负营运资本模式是油气龙头企业的典型特征，体现强大的产业链议价能力。2026Q1因应收账款季节性增加，负营运资本收窄至-74亿元，但仍保持强势地位。</w:t>
      </w:r>
    </w:p>
    <w:p>
      <w:pPr>
        <w:jc w:val="center"/>
      </w:pPr>
      <w:r>
        <w:drawing>
          <wp:inline xmlns:a="http://schemas.openxmlformats.org/drawingml/2006/main" xmlns:pic="http://schemas.openxmlformats.org/drawingml/2006/picture">
            <wp:extent cx="5029200" cy="3261009"/>
            <wp:docPr id="4" name="Picture 4"/>
            <wp:cNvGraphicFramePr>
              <a:graphicFrameLocks noChangeAspect="1"/>
            </wp:cNvGraphicFramePr>
            <a:graphic>
              <a:graphicData uri="http://schemas.openxmlformats.org/drawingml/2006/picture">
                <pic:pic>
                  <pic:nvPicPr>
                    <pic:cNvPr id="0" name="chart_2_3_working_capital.png"/>
                    <pic:cNvPicPr/>
                  </pic:nvPicPr>
                  <pic:blipFill>
                    <a:blip r:embed="rId12"/>
                    <a:stretch>
                      <a:fillRect/>
                    </a:stretch>
                  </pic:blipFill>
                  <pic:spPr>
                    <a:xfrm>
                      <a:off x="0" y="0"/>
                      <a:ext cx="5029200" cy="3261009"/>
                    </a:xfrm>
                    <a:prstGeom prst="rect"/>
                  </pic:spPr>
                </pic:pic>
              </a:graphicData>
            </a:graphic>
          </wp:inline>
        </w:drawing>
      </w:r>
    </w:p>
    <w:p/>
    <w:p>
      <w:pPr>
        <w:jc w:val="center"/>
      </w:pPr>
      <w:r>
        <w:drawing>
          <wp:inline xmlns:a="http://schemas.openxmlformats.org/drawingml/2006/main" xmlns:pic="http://schemas.openxmlformats.org/drawingml/2006/picture">
            <wp:extent cx="5029200" cy="3103623"/>
            <wp:docPr id="5" name="Picture 5"/>
            <wp:cNvGraphicFramePr>
              <a:graphicFrameLocks noChangeAspect="1"/>
            </wp:cNvGraphicFramePr>
            <a:graphic>
              <a:graphicData uri="http://schemas.openxmlformats.org/drawingml/2006/picture">
                <pic:pic>
                  <pic:nvPicPr>
                    <pic:cNvPr id="0" name="chart_2_1_bs_key.png"/>
                    <pic:cNvPicPr/>
                  </pic:nvPicPr>
                  <pic:blipFill>
                    <a:blip r:embed="rId13"/>
                    <a:stretch>
                      <a:fillRect/>
                    </a:stretch>
                  </pic:blipFill>
                  <pic:spPr>
                    <a:xfrm>
                      <a:off x="0" y="0"/>
                      <a:ext cx="5029200" cy="3103623"/>
                    </a:xfrm>
                    <a:prstGeom prst="rect"/>
                  </pic:spPr>
                </pic:pic>
              </a:graphicData>
            </a:graphic>
          </wp:inline>
        </w:drawing>
      </w:r>
    </w:p>
    <w:p/>
    <w:p>
      <w:pPr>
        <w:pStyle w:val="Heading2"/>
        <w:spacing w:before="240" w:after="120" w:line="360" w:lineRule="auto"/>
      </w:pPr>
      <w:r>
        <w:rPr>
          <w:rFonts w:ascii="黑体" w:hAnsi="黑体" w:eastAsia="黑体"/>
          <w:b/>
          <w:sz w:val="28"/>
        </w:rPr>
        <w:t>2.6 现金流量表联动分析</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项目</w:t>
            </w:r>
          </w:p>
        </w:tc>
        <w:tc>
          <w:tcPr>
            <w:tcW w:type="dxa" w:w="1728"/>
          </w:tcPr>
          <w:p>
            <w:pPr>
              <w:jc w:val="center"/>
            </w:pPr>
            <w:r>
              <w:rPr>
                <w:rFonts w:ascii="黑体" w:hAnsi="黑体" w:eastAsia="黑体"/>
                <w:b/>
                <w:sz w:val="20"/>
              </w:rPr>
              <w:t>2023年</w:t>
            </w:r>
          </w:p>
        </w:tc>
        <w:tc>
          <w:tcPr>
            <w:tcW w:type="dxa" w:w="1728"/>
          </w:tcPr>
          <w:p>
            <w:pPr>
              <w:jc w:val="center"/>
            </w:pPr>
            <w:r>
              <w:rPr>
                <w:rFonts w:ascii="黑体" w:hAnsi="黑体" w:eastAsia="黑体"/>
                <w:b/>
                <w:sz w:val="20"/>
              </w:rPr>
              <w:t>2024年</w:t>
            </w:r>
          </w:p>
        </w:tc>
        <w:tc>
          <w:tcPr>
            <w:tcW w:type="dxa" w:w="1728"/>
          </w:tcPr>
          <w:p>
            <w:pPr>
              <w:jc w:val="center"/>
            </w:pPr>
            <w:r>
              <w:rPr>
                <w:rFonts w:ascii="黑体" w:hAnsi="黑体" w:eastAsia="黑体"/>
                <w:b/>
                <w:sz w:val="20"/>
              </w:rPr>
              <w:t>2025年</w:t>
            </w:r>
          </w:p>
        </w:tc>
        <w:tc>
          <w:tcPr>
            <w:tcW w:type="dxa" w:w="1728"/>
          </w:tcPr>
          <w:p>
            <w:pPr>
              <w:jc w:val="center"/>
            </w:pPr>
            <w:r>
              <w:rPr>
                <w:rFonts w:ascii="黑体" w:hAnsi="黑体" w:eastAsia="黑体"/>
                <w:b/>
                <w:sz w:val="20"/>
              </w:rPr>
              <w:t>2026Q1</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黑体" w:hAnsi="黑体" w:eastAsia="黑体"/>
                <w:b/>
                <w:sz w:val="20"/>
              </w:rPr>
              <w:t>经营活动现金流量净额</w:t>
            </w:r>
          </w:p>
        </w:tc>
        <w:tc>
          <w:tcPr>
            <w:tcW w:type="dxa" w:w="1728"/>
          </w:tcPr>
          <w:p>
            <w:pPr>
              <w:jc w:val="center"/>
            </w:pPr>
            <w:r>
              <w:rPr>
                <w:rFonts w:ascii="黑体" w:hAnsi="黑体" w:eastAsia="黑体"/>
                <w:b/>
                <w:sz w:val="20"/>
              </w:rPr>
              <w:t>2,097.43</w:t>
            </w:r>
          </w:p>
        </w:tc>
        <w:tc>
          <w:tcPr>
            <w:tcW w:type="dxa" w:w="1728"/>
          </w:tcPr>
          <w:p>
            <w:pPr>
              <w:jc w:val="center"/>
            </w:pPr>
            <w:r>
              <w:rPr>
                <w:rFonts w:ascii="黑体" w:hAnsi="黑体" w:eastAsia="黑体"/>
                <w:b/>
                <w:sz w:val="20"/>
              </w:rPr>
              <w:t>2,208.91</w:t>
            </w:r>
          </w:p>
        </w:tc>
        <w:tc>
          <w:tcPr>
            <w:tcW w:type="dxa" w:w="1728"/>
          </w:tcPr>
          <w:p>
            <w:pPr>
              <w:jc w:val="center"/>
            </w:pPr>
            <w:r>
              <w:rPr>
                <w:rFonts w:ascii="黑体" w:hAnsi="黑体" w:eastAsia="黑体"/>
                <w:b/>
                <w:sz w:val="20"/>
              </w:rPr>
              <w:t>2,090.42</w:t>
            </w:r>
          </w:p>
        </w:tc>
        <w:tc>
          <w:tcPr>
            <w:tcW w:type="dxa" w:w="1728"/>
          </w:tcPr>
          <w:p>
            <w:pPr>
              <w:jc w:val="center"/>
            </w:pPr>
            <w:r>
              <w:rPr>
                <w:rFonts w:ascii="黑体" w:hAnsi="黑体" w:eastAsia="黑体"/>
                <w:b/>
                <w:sz w:val="20"/>
              </w:rPr>
              <w:t>551.48</w:t>
            </w:r>
          </w:p>
        </w:tc>
      </w:tr>
      <w:tr>
        <w:tc>
          <w:tcPr>
            <w:tcW w:type="dxa" w:w="1728"/>
          </w:tcPr>
          <w:p>
            <w:pPr>
              <w:jc w:val="right"/>
            </w:pPr>
            <w:r>
              <w:rPr>
                <w:rFonts w:ascii="宋体" w:hAnsi="宋体" w:eastAsia="宋体"/>
                <w:b w:val="0"/>
                <w:sz w:val="18"/>
              </w:rPr>
              <w:t>筹资活动现金流量净额</w:t>
            </w:r>
          </w:p>
        </w:tc>
        <w:tc>
          <w:tcPr>
            <w:tcW w:type="dxa" w:w="1728"/>
          </w:tcPr>
          <w:p>
            <w:pPr>
              <w:jc w:val="right"/>
            </w:pPr>
            <w:r>
              <w:rPr>
                <w:rFonts w:ascii="宋体" w:hAnsi="宋体" w:eastAsia="宋体"/>
                <w:b w:val="0"/>
                <w:sz w:val="18"/>
              </w:rPr>
              <w:t>-842.28</w:t>
            </w:r>
          </w:p>
        </w:tc>
        <w:tc>
          <w:tcPr>
            <w:tcW w:type="dxa" w:w="1728"/>
          </w:tcPr>
          <w:p>
            <w:pPr>
              <w:jc w:val="right"/>
            </w:pPr>
            <w:r>
              <w:rPr>
                <w:rFonts w:ascii="宋体" w:hAnsi="宋体" w:eastAsia="宋体"/>
                <w:b w:val="0"/>
                <w:sz w:val="18"/>
              </w:rPr>
              <w:t>-979.35</w:t>
            </w:r>
          </w:p>
        </w:tc>
        <w:tc>
          <w:tcPr>
            <w:tcW w:type="dxa" w:w="1728"/>
          </w:tcPr>
          <w:p>
            <w:pPr>
              <w:jc w:val="right"/>
            </w:pPr>
            <w:r>
              <w:rPr>
                <w:rFonts w:ascii="宋体" w:hAnsi="宋体" w:eastAsia="宋体"/>
                <w:b w:val="0"/>
                <w:sz w:val="18"/>
              </w:rPr>
              <w:t>-859.83</w:t>
            </w:r>
          </w:p>
        </w:tc>
        <w:tc>
          <w:tcPr>
            <w:tcW w:type="dxa" w:w="1728"/>
          </w:tcPr>
          <w:p>
            <w:pPr>
              <w:jc w:val="right"/>
            </w:pPr>
            <w:r>
              <w:rPr>
                <w:rFonts w:ascii="宋体" w:hAnsi="宋体" w:eastAsia="宋体"/>
                <w:b w:val="0"/>
                <w:sz w:val="18"/>
              </w:rPr>
              <w:t>-16.39</w:t>
            </w:r>
          </w:p>
        </w:tc>
      </w:tr>
      <w:tr>
        <w:tc>
          <w:tcPr>
            <w:tcW w:type="dxa" w:w="1728"/>
          </w:tcPr>
          <w:p>
            <w:pPr>
              <w:jc w:val="right"/>
            </w:pPr>
            <w:r>
              <w:rPr>
                <w:rFonts w:ascii="宋体" w:hAnsi="宋体" w:eastAsia="宋体"/>
                <w:b w:val="0"/>
                <w:sz w:val="18"/>
              </w:rPr>
              <w:t>现金及现金等价物净增加额</w:t>
            </w:r>
          </w:p>
        </w:tc>
        <w:tc>
          <w:tcPr>
            <w:tcW w:type="dxa" w:w="1728"/>
          </w:tcPr>
          <w:p>
            <w:pPr>
              <w:jc w:val="right"/>
            </w:pPr>
            <w:r>
              <w:rPr>
                <w:rFonts w:ascii="宋体" w:hAnsi="宋体" w:eastAsia="宋体"/>
                <w:b w:val="0"/>
                <w:sz w:val="18"/>
              </w:rPr>
              <w:t>478.06</w:t>
            </w:r>
          </w:p>
        </w:tc>
        <w:tc>
          <w:tcPr>
            <w:tcW w:type="dxa" w:w="1728"/>
          </w:tcPr>
          <w:p>
            <w:pPr>
              <w:jc w:val="right"/>
            </w:pPr>
            <w:r>
              <w:rPr>
                <w:rFonts w:ascii="宋体" w:hAnsi="宋体" w:eastAsia="宋体"/>
                <w:b w:val="0"/>
                <w:sz w:val="18"/>
              </w:rPr>
              <w:t>-521.55</w:t>
            </w:r>
          </w:p>
        </w:tc>
        <w:tc>
          <w:tcPr>
            <w:tcW w:type="dxa" w:w="1728"/>
          </w:tcPr>
          <w:p>
            <w:pPr>
              <w:jc w:val="right"/>
            </w:pPr>
            <w:r>
              <w:rPr>
                <w:rFonts w:ascii="宋体" w:hAnsi="宋体" w:eastAsia="宋体"/>
                <w:b w:val="0"/>
                <w:sz w:val="18"/>
              </w:rPr>
              <w:t>-26.05</w:t>
            </w:r>
          </w:p>
        </w:tc>
        <w:tc>
          <w:tcPr>
            <w:tcW w:type="dxa" w:w="1728"/>
          </w:tcPr>
          <w:p>
            <w:pPr>
              <w:jc w:val="right"/>
            </w:pPr>
            <w:r>
              <w:rPr>
                <w:rFonts w:ascii="宋体" w:hAnsi="宋体" w:eastAsia="宋体"/>
                <w:b w:val="0"/>
                <w:sz w:val="18"/>
              </w:rPr>
              <w:t>315.58</w:t>
            </w:r>
          </w:p>
        </w:tc>
      </w:tr>
      <w:tr>
        <w:tc>
          <w:tcPr>
            <w:tcW w:type="dxa" w:w="1728"/>
          </w:tcPr>
          <w:p>
            <w:pPr>
              <w:jc w:val="right"/>
            </w:pPr>
            <w:r>
              <w:rPr>
                <w:rFonts w:ascii="宋体" w:hAnsi="宋体" w:eastAsia="宋体"/>
                <w:b w:val="0"/>
                <w:sz w:val="18"/>
              </w:rPr>
              <w:t>期初现金及现金等价物</w:t>
            </w:r>
          </w:p>
        </w:tc>
        <w:tc>
          <w:tcPr>
            <w:tcW w:type="dxa" w:w="1728"/>
          </w:tcPr>
          <w:p>
            <w:pPr>
              <w:jc w:val="right"/>
            </w:pPr>
            <w:r>
              <w:rPr>
                <w:rFonts w:ascii="宋体" w:hAnsi="宋体" w:eastAsia="宋体"/>
                <w:b w:val="0"/>
                <w:sz w:val="18"/>
              </w:rPr>
              <w:t>856.33</w:t>
            </w:r>
          </w:p>
        </w:tc>
        <w:tc>
          <w:tcPr>
            <w:tcW w:type="dxa" w:w="1728"/>
          </w:tcPr>
          <w:p>
            <w:pPr>
              <w:jc w:val="right"/>
            </w:pPr>
            <w:r>
              <w:rPr>
                <w:rFonts w:ascii="宋体" w:hAnsi="宋体" w:eastAsia="宋体"/>
                <w:b w:val="0"/>
                <w:sz w:val="18"/>
              </w:rPr>
              <w:t>1,334.39</w:t>
            </w:r>
          </w:p>
        </w:tc>
        <w:tc>
          <w:tcPr>
            <w:tcW w:type="dxa" w:w="1728"/>
          </w:tcPr>
          <w:p>
            <w:pPr>
              <w:jc w:val="right"/>
            </w:pPr>
            <w:r>
              <w:rPr>
                <w:rFonts w:ascii="宋体" w:hAnsi="宋体" w:eastAsia="宋体"/>
                <w:b w:val="0"/>
                <w:sz w:val="18"/>
              </w:rPr>
              <w:t>812.84</w:t>
            </w:r>
          </w:p>
        </w:tc>
        <w:tc>
          <w:tcPr>
            <w:tcW w:type="dxa" w:w="1728"/>
          </w:tcPr>
          <w:p>
            <w:pPr>
              <w:jc w:val="right"/>
            </w:pPr>
            <w:r>
              <w:rPr>
                <w:rFonts w:ascii="宋体" w:hAnsi="宋体" w:eastAsia="宋体"/>
                <w:b w:val="0"/>
                <w:sz w:val="18"/>
              </w:rPr>
              <w:t>786.79</w:t>
            </w:r>
          </w:p>
        </w:tc>
      </w:tr>
      <w:tr>
        <w:tc>
          <w:tcPr>
            <w:tcW w:type="dxa" w:w="1728"/>
          </w:tcPr>
          <w:p>
            <w:pPr>
              <w:jc w:val="right"/>
            </w:pPr>
            <w:r>
              <w:rPr>
                <w:rFonts w:ascii="宋体" w:hAnsi="宋体" w:eastAsia="宋体"/>
                <w:b w:val="0"/>
                <w:sz w:val="18"/>
              </w:rPr>
              <w:t>期末现金及现金等价物</w:t>
            </w:r>
          </w:p>
        </w:tc>
        <w:tc>
          <w:tcPr>
            <w:tcW w:type="dxa" w:w="1728"/>
          </w:tcPr>
          <w:p>
            <w:pPr>
              <w:jc w:val="right"/>
            </w:pPr>
            <w:r>
              <w:rPr>
                <w:rFonts w:ascii="宋体" w:hAnsi="宋体" w:eastAsia="宋体"/>
                <w:b w:val="0"/>
                <w:sz w:val="18"/>
              </w:rPr>
              <w:t>1,334.39</w:t>
            </w:r>
          </w:p>
        </w:tc>
        <w:tc>
          <w:tcPr>
            <w:tcW w:type="dxa" w:w="1728"/>
          </w:tcPr>
          <w:p>
            <w:pPr>
              <w:jc w:val="right"/>
            </w:pPr>
            <w:r>
              <w:rPr>
                <w:rFonts w:ascii="宋体" w:hAnsi="宋体" w:eastAsia="宋体"/>
                <w:b w:val="0"/>
                <w:sz w:val="18"/>
              </w:rPr>
              <w:t>812.84</w:t>
            </w:r>
          </w:p>
        </w:tc>
        <w:tc>
          <w:tcPr>
            <w:tcW w:type="dxa" w:w="1728"/>
          </w:tcPr>
          <w:p>
            <w:pPr>
              <w:jc w:val="right"/>
            </w:pPr>
            <w:r>
              <w:rPr>
                <w:rFonts w:ascii="宋体" w:hAnsi="宋体" w:eastAsia="宋体"/>
                <w:b w:val="0"/>
                <w:sz w:val="18"/>
              </w:rPr>
              <w:t>786.79</w:t>
            </w:r>
          </w:p>
        </w:tc>
        <w:tc>
          <w:tcPr>
            <w:tcW w:type="dxa" w:w="1728"/>
          </w:tcPr>
          <w:p>
            <w:pPr>
              <w:jc w:val="right"/>
            </w:pPr>
            <w:r>
              <w:rPr>
                <w:rFonts w:ascii="宋体" w:hAnsi="宋体" w:eastAsia="宋体"/>
                <w:b w:val="0"/>
                <w:sz w:val="18"/>
              </w:rPr>
              <w:t>1,102.37</w:t>
            </w:r>
          </w:p>
        </w:tc>
      </w:tr>
    </w:tbl>
    <w:p/>
    <w:p>
      <w:pPr>
        <w:spacing w:line="360" w:lineRule="auto" w:after="120"/>
        <w:ind w:firstLine="0"/>
      </w:pPr>
      <w:r>
        <w:rPr>
          <w:rFonts w:ascii="宋体" w:hAnsi="宋体" w:eastAsia="宋体"/>
          <w:b/>
          <w:sz w:val="24"/>
        </w:rPr>
        <w:t>现金流量表分析：</w:t>
      </w:r>
    </w:p>
    <w:p>
      <w:pPr>
        <w:spacing w:line="360" w:lineRule="auto" w:after="120"/>
        <w:ind w:firstLine="480"/>
      </w:pPr>
      <w:r>
        <w:rPr>
          <w:rFonts w:ascii="宋体" w:hAnsi="宋体" w:eastAsia="宋体"/>
          <w:b w:val="0"/>
          <w:sz w:val="24"/>
        </w:rPr>
        <w:t>① 经营活动现金流：2023年2,097亿元、2024年2,209亿元（+5.3%）、2025年2,090亿元（-5.3%）、2026Q1 551亿元。经营现金流始终高于净利润，2025年经营现金流/净利润约1.71倍，显示利润现金含金量极高。这主要因为油气销售回款及时、折旧摊销等非现金费用大。2025年经营现金流小幅下降与净利润下滑趋势一致。</w:t>
      </w:r>
    </w:p>
    <w:p>
      <w:pPr>
        <w:spacing w:line="360" w:lineRule="auto" w:after="120"/>
        <w:ind w:firstLine="480"/>
      </w:pPr>
      <w:r>
        <w:rPr>
          <w:rFonts w:ascii="宋体" w:hAnsi="宋体" w:eastAsia="宋体"/>
          <w:b w:val="0"/>
          <w:sz w:val="24"/>
        </w:rPr>
        <w:t>② 投资活动现金流：2023年-781亿元、2024年-1,754亿元（+124.6%）、2025年-1,253亿元（-28.6%）、2026Q1 -217亿元。投资现金流主要为资本开支（油气田开发、勘探）。2024年资本开支高峰对应多个大型项目集中投入；2025年资本开支1,205亿元，同比下降9%，但仍维持高位。投资现金流与资产负债表中的油气资产、在建工程变动相互印证。</w:t>
      </w:r>
    </w:p>
    <w:p>
      <w:pPr>
        <w:spacing w:line="360" w:lineRule="auto" w:after="120"/>
        <w:ind w:firstLine="480"/>
      </w:pPr>
      <w:r>
        <w:rPr>
          <w:rFonts w:ascii="宋体" w:hAnsi="宋体" w:eastAsia="宋体"/>
          <w:b w:val="0"/>
          <w:sz w:val="24"/>
        </w:rPr>
        <w:t>③ 筹资活动现金流：2023年-842亿元、2024年-979亿元、2025年-860亿元、2026Q1 -16亿元。筹资活动现金流出主要是分红和偿还债务。2025年分红约550亿元，偿还长期借款约561亿元，合计占筹资流出主要部分。公司几乎不依赖外部融资，体现强劲的自我造血能力。</w:t>
      </w:r>
    </w:p>
    <w:p>
      <w:pPr>
        <w:spacing w:line="360" w:lineRule="auto" w:after="120"/>
        <w:ind w:firstLine="480"/>
      </w:pPr>
      <w:r>
        <w:rPr>
          <w:rFonts w:ascii="宋体" w:hAnsi="宋体" w:eastAsia="宋体"/>
          <w:b w:val="0"/>
          <w:sz w:val="24"/>
        </w:rPr>
        <w:t>④ 自由现金流：2025年经营现金流2,090亿元减去投资现金流出1,253亿元，自由现金流约837亿元（注意：前述974亿为券商估算口径，差异主要在资本化利息和投资分类）。2024年自由现金流约455亿元。自由现金流为正且持续，支撑高分红和偿债。</w:t>
      </w:r>
    </w:p>
    <w:p>
      <w:pPr>
        <w:spacing w:line="360" w:lineRule="auto" w:after="120"/>
        <w:ind w:firstLine="480"/>
      </w:pPr>
      <w:r>
        <w:rPr>
          <w:rFonts w:ascii="宋体" w:hAnsi="宋体" w:eastAsia="宋体"/>
          <w:b w:val="0"/>
          <w:sz w:val="24"/>
        </w:rPr>
        <w:t>⑤ 货币资金循环：期初现金856亿元 + 经营流入2,097亿元 - 投资流出781亿元 - 筹资流出842亿元 = 期末1,334亿元，2023年基本配平。2024年现金净减少522亿元，因投资高峰叠加分红。2025年现金净减少26亿元，经营现金流几乎覆盖投资和分红，显示现金收支进入良性循环。</w:t>
      </w:r>
    </w:p>
    <w:p>
      <w:pPr>
        <w:pStyle w:val="Heading1"/>
        <w:spacing w:before="240" w:after="120" w:line="360" w:lineRule="auto"/>
      </w:pPr>
      <w:r>
        <w:rPr>
          <w:rFonts w:ascii="黑体" w:hAnsi="黑体" w:eastAsia="黑体"/>
          <w:b/>
          <w:sz w:val="36"/>
        </w:rPr>
        <w:t>第三部分　利润表深度分析（完整科目 + 逐项变动分析）</w:t>
      </w:r>
    </w:p>
    <w:p>
      <w:pPr>
        <w:spacing w:line="360" w:lineRule="auto" w:after="120"/>
        <w:ind w:firstLine="480"/>
      </w:pPr>
      <w:r>
        <w:rPr>
          <w:rFonts w:ascii="宋体" w:hAnsi="宋体" w:eastAsia="宋体"/>
          <w:b w:val="0"/>
          <w:sz w:val="24"/>
        </w:rPr>
        <w:t>本部分对2023年、2024年、2025年年度及2026年一季度利润表按完整科目逐项列示。2024年、2025年列示相较前一年的净增额和增长率；2026Q1为单季度数据，列示同比变化率。</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rFonts w:ascii="黑体" w:hAnsi="黑体" w:eastAsia="黑体"/>
                <w:b/>
                <w:sz w:val="20"/>
              </w:rPr>
              <w:t>科目</w:t>
            </w:r>
          </w:p>
        </w:tc>
        <w:tc>
          <w:tcPr>
            <w:tcW w:type="dxa" w:w="864"/>
          </w:tcPr>
          <w:p>
            <w:pPr>
              <w:jc w:val="center"/>
            </w:pPr>
            <w:r>
              <w:rPr>
                <w:rFonts w:ascii="黑体" w:hAnsi="黑体" w:eastAsia="黑体"/>
                <w:b/>
                <w:sz w:val="20"/>
              </w:rPr>
              <w:t>2023年</w:t>
            </w:r>
          </w:p>
        </w:tc>
        <w:tc>
          <w:tcPr>
            <w:tcW w:type="dxa" w:w="864"/>
          </w:tcPr>
          <w:p>
            <w:pPr>
              <w:jc w:val="center"/>
            </w:pPr>
            <w:r>
              <w:rPr>
                <w:rFonts w:ascii="黑体" w:hAnsi="黑体" w:eastAsia="黑体"/>
                <w:b/>
                <w:sz w:val="20"/>
              </w:rPr>
              <w:t>2024年</w:t>
            </w:r>
          </w:p>
        </w:tc>
        <w:tc>
          <w:tcPr>
            <w:tcW w:type="dxa" w:w="864"/>
          </w:tcPr>
          <w:p>
            <w:pPr>
              <w:jc w:val="center"/>
            </w:pPr>
            <w:r>
              <w:rPr>
                <w:rFonts w:ascii="黑体" w:hAnsi="黑体" w:eastAsia="黑体"/>
                <w:b/>
                <w:sz w:val="20"/>
              </w:rPr>
              <w:t>净增(24vs23)</w:t>
            </w:r>
          </w:p>
        </w:tc>
        <w:tc>
          <w:tcPr>
            <w:tcW w:type="dxa" w:w="864"/>
          </w:tcPr>
          <w:p>
            <w:pPr>
              <w:jc w:val="center"/>
            </w:pPr>
            <w:r>
              <w:rPr>
                <w:rFonts w:ascii="黑体" w:hAnsi="黑体" w:eastAsia="黑体"/>
                <w:b/>
                <w:sz w:val="20"/>
              </w:rPr>
              <w:t>增长率(24vs23)</w:t>
            </w:r>
          </w:p>
        </w:tc>
        <w:tc>
          <w:tcPr>
            <w:tcW w:type="dxa" w:w="864"/>
          </w:tcPr>
          <w:p>
            <w:pPr>
              <w:jc w:val="center"/>
            </w:pPr>
            <w:r>
              <w:rPr>
                <w:rFonts w:ascii="黑体" w:hAnsi="黑体" w:eastAsia="黑体"/>
                <w:b/>
                <w:sz w:val="20"/>
              </w:rPr>
              <w:t>2025年</w:t>
            </w:r>
          </w:p>
        </w:tc>
        <w:tc>
          <w:tcPr>
            <w:tcW w:type="dxa" w:w="864"/>
          </w:tcPr>
          <w:p>
            <w:pPr>
              <w:jc w:val="center"/>
            </w:pPr>
            <w:r>
              <w:rPr>
                <w:rFonts w:ascii="黑体" w:hAnsi="黑体" w:eastAsia="黑体"/>
                <w:b/>
                <w:sz w:val="20"/>
              </w:rPr>
              <w:t>净增(25vs24)</w:t>
            </w:r>
          </w:p>
        </w:tc>
        <w:tc>
          <w:tcPr>
            <w:tcW w:type="dxa" w:w="864"/>
          </w:tcPr>
          <w:p>
            <w:pPr>
              <w:jc w:val="center"/>
            </w:pPr>
            <w:r>
              <w:rPr>
                <w:rFonts w:ascii="黑体" w:hAnsi="黑体" w:eastAsia="黑体"/>
                <w:b/>
                <w:sz w:val="20"/>
              </w:rPr>
              <w:t>增长率(25vs24)</w:t>
            </w:r>
          </w:p>
        </w:tc>
        <w:tc>
          <w:tcPr>
            <w:tcW w:type="dxa" w:w="864"/>
          </w:tcPr>
          <w:p>
            <w:pPr>
              <w:jc w:val="center"/>
            </w:pPr>
            <w:r>
              <w:rPr>
                <w:rFonts w:ascii="黑体" w:hAnsi="黑体" w:eastAsia="黑体"/>
                <w:b/>
                <w:sz w:val="20"/>
              </w:rPr>
              <w:t>2026Q1</w:t>
            </w:r>
          </w:p>
        </w:tc>
        <w:tc>
          <w:tcPr>
            <w:tcW w:type="dxa" w:w="864"/>
          </w:tcPr>
          <w:p>
            <w:pPr>
              <w:jc w:val="center"/>
            </w:pPr>
            <w:r>
              <w:rPr>
                <w:rFonts w:ascii="黑体" w:hAnsi="黑体" w:eastAsia="黑体"/>
                <w:b/>
                <w:sz w:val="20"/>
              </w:rPr>
              <w:t>同比(26Q1 vs 25Q1)</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rPr>
                <w:rFonts w:ascii="黑体" w:hAnsi="黑体" w:eastAsia="黑体"/>
                <w:b/>
                <w:sz w:val="20"/>
              </w:rPr>
              <w:t>营业总收入</w:t>
            </w:r>
          </w:p>
        </w:tc>
        <w:tc>
          <w:tcPr>
            <w:tcW w:type="dxa" w:w="864"/>
          </w:tcPr>
          <w:p>
            <w:pPr>
              <w:jc w:val="center"/>
            </w:pPr>
            <w:r>
              <w:rPr>
                <w:rFonts w:ascii="黑体" w:hAnsi="黑体" w:eastAsia="黑体"/>
                <w:b/>
                <w:sz w:val="20"/>
              </w:rPr>
              <w:t>4,166.00</w:t>
            </w:r>
          </w:p>
        </w:tc>
        <w:tc>
          <w:tcPr>
            <w:tcW w:type="dxa" w:w="864"/>
          </w:tcPr>
          <w:p>
            <w:pPr>
              <w:jc w:val="center"/>
            </w:pPr>
            <w:r>
              <w:rPr>
                <w:rFonts w:ascii="黑体" w:hAnsi="黑体" w:eastAsia="黑体"/>
                <w:b/>
                <w:sz w:val="20"/>
              </w:rPr>
              <w:t>4,205.00</w:t>
            </w:r>
          </w:p>
        </w:tc>
        <w:tc>
          <w:tcPr>
            <w:tcW w:type="dxa" w:w="864"/>
          </w:tcPr>
          <w:p>
            <w:pPr>
              <w:jc w:val="center"/>
            </w:pPr>
            <w:r>
              <w:rPr>
                <w:rFonts w:ascii="黑体" w:hAnsi="黑体" w:eastAsia="黑体"/>
                <w:b/>
                <w:sz w:val="20"/>
              </w:rPr>
              <w:t>39.00</w:t>
            </w:r>
          </w:p>
        </w:tc>
        <w:tc>
          <w:tcPr>
            <w:tcW w:type="dxa" w:w="864"/>
          </w:tcPr>
          <w:p>
            <w:pPr>
              <w:jc w:val="center"/>
            </w:pPr>
            <w:r>
              <w:rPr>
                <w:rFonts w:ascii="黑体" w:hAnsi="黑体" w:eastAsia="黑体"/>
                <w:b/>
                <w:sz w:val="20"/>
              </w:rPr>
              <w:t>+0.9%</w:t>
            </w:r>
          </w:p>
        </w:tc>
        <w:tc>
          <w:tcPr>
            <w:tcW w:type="dxa" w:w="864"/>
          </w:tcPr>
          <w:p>
            <w:pPr>
              <w:jc w:val="center"/>
            </w:pPr>
            <w:r>
              <w:rPr>
                <w:rFonts w:ascii="黑体" w:hAnsi="黑体" w:eastAsia="黑体"/>
                <w:b/>
                <w:sz w:val="20"/>
              </w:rPr>
              <w:t>3,982.00</w:t>
            </w:r>
          </w:p>
        </w:tc>
        <w:tc>
          <w:tcPr>
            <w:tcW w:type="dxa" w:w="864"/>
          </w:tcPr>
          <w:p>
            <w:pPr>
              <w:jc w:val="center"/>
            </w:pPr>
            <w:r>
              <w:rPr>
                <w:rFonts w:ascii="黑体" w:hAnsi="黑体" w:eastAsia="黑体"/>
                <w:b/>
                <w:sz w:val="20"/>
              </w:rPr>
              <w:t>-223.00</w:t>
            </w:r>
          </w:p>
        </w:tc>
        <w:tc>
          <w:tcPr>
            <w:tcW w:type="dxa" w:w="864"/>
          </w:tcPr>
          <w:p>
            <w:pPr>
              <w:jc w:val="center"/>
            </w:pPr>
            <w:r>
              <w:rPr>
                <w:rFonts w:ascii="黑体" w:hAnsi="黑体" w:eastAsia="黑体"/>
                <w:b/>
                <w:sz w:val="20"/>
              </w:rPr>
              <w:t>-5.3%</w:t>
            </w:r>
          </w:p>
        </w:tc>
        <w:tc>
          <w:tcPr>
            <w:tcW w:type="dxa" w:w="864"/>
          </w:tcPr>
          <w:p>
            <w:pPr>
              <w:jc w:val="center"/>
            </w:pPr>
            <w:r>
              <w:rPr>
                <w:rFonts w:ascii="黑体" w:hAnsi="黑体" w:eastAsia="黑体"/>
                <w:b/>
                <w:sz w:val="20"/>
              </w:rPr>
              <w:t>1,161.00</w:t>
            </w:r>
          </w:p>
        </w:tc>
        <w:tc>
          <w:tcPr>
            <w:tcW w:type="dxa" w:w="864"/>
          </w:tcPr>
          <w:p>
            <w:pPr>
              <w:jc w:val="center"/>
            </w:pPr>
            <w:r>
              <w:rPr>
                <w:rFonts w:ascii="黑体" w:hAnsi="黑体" w:eastAsia="黑体"/>
                <w:b/>
                <w:sz w:val="20"/>
              </w:rPr>
              <w:t>+8.6%</w:t>
            </w:r>
          </w:p>
        </w:tc>
      </w:tr>
      <w:tr>
        <w:tc>
          <w:tcPr>
            <w:tcW w:type="dxa" w:w="864"/>
          </w:tcPr>
          <w:p>
            <w:pPr>
              <w:jc w:val="right"/>
            </w:pPr>
            <w:r>
              <w:rPr>
                <w:rFonts w:ascii="宋体" w:hAnsi="宋体" w:eastAsia="宋体"/>
                <w:b w:val="0"/>
                <w:sz w:val="18"/>
              </w:rPr>
              <w:t>营业总成本</w:t>
            </w:r>
          </w:p>
        </w:tc>
        <w:tc>
          <w:tcPr>
            <w:tcW w:type="dxa" w:w="864"/>
          </w:tcPr>
          <w:p>
            <w:pPr>
              <w:jc w:val="right"/>
            </w:pPr>
            <w:r>
              <w:rPr>
                <w:rFonts w:ascii="宋体" w:hAnsi="宋体" w:eastAsia="宋体"/>
                <w:b w:val="0"/>
                <w:sz w:val="18"/>
              </w:rPr>
              <w:t>2,461.00</w:t>
            </w:r>
          </w:p>
        </w:tc>
        <w:tc>
          <w:tcPr>
            <w:tcW w:type="dxa" w:w="864"/>
          </w:tcPr>
          <w:p>
            <w:pPr>
              <w:jc w:val="right"/>
            </w:pPr>
            <w:r>
              <w:rPr>
                <w:rFonts w:ascii="宋体" w:hAnsi="宋体" w:eastAsia="宋体"/>
                <w:b w:val="0"/>
                <w:sz w:val="18"/>
              </w:rPr>
              <w:t>2,306.00</w:t>
            </w:r>
          </w:p>
        </w:tc>
        <w:tc>
          <w:tcPr>
            <w:tcW w:type="dxa" w:w="864"/>
          </w:tcPr>
          <w:p>
            <w:pPr>
              <w:jc w:val="right"/>
            </w:pPr>
            <w:r>
              <w:rPr>
                <w:rFonts w:ascii="宋体" w:hAnsi="宋体" w:eastAsia="宋体"/>
                <w:b w:val="0"/>
                <w:sz w:val="18"/>
              </w:rPr>
              <w:t>-155.00</w:t>
            </w:r>
          </w:p>
        </w:tc>
        <w:tc>
          <w:tcPr>
            <w:tcW w:type="dxa" w:w="864"/>
          </w:tcPr>
          <w:p>
            <w:pPr>
              <w:jc w:val="right"/>
            </w:pPr>
            <w:r>
              <w:rPr>
                <w:rFonts w:ascii="宋体" w:hAnsi="宋体" w:eastAsia="宋体"/>
                <w:b w:val="0"/>
                <w:sz w:val="18"/>
              </w:rPr>
              <w:t>-6.3%</w:t>
            </w:r>
          </w:p>
        </w:tc>
        <w:tc>
          <w:tcPr>
            <w:tcW w:type="dxa" w:w="864"/>
          </w:tcPr>
          <w:p>
            <w:pPr>
              <w:jc w:val="right"/>
            </w:pPr>
            <w:r>
              <w:rPr>
                <w:rFonts w:ascii="宋体" w:hAnsi="宋体" w:eastAsia="宋体"/>
                <w:b w:val="0"/>
                <w:sz w:val="18"/>
              </w:rPr>
              <w:t>2,256.00</w:t>
            </w:r>
          </w:p>
        </w:tc>
        <w:tc>
          <w:tcPr>
            <w:tcW w:type="dxa" w:w="864"/>
          </w:tcPr>
          <w:p>
            <w:pPr>
              <w:jc w:val="right"/>
            </w:pPr>
            <w:r>
              <w:rPr>
                <w:rFonts w:ascii="宋体" w:hAnsi="宋体" w:eastAsia="宋体"/>
                <w:b w:val="0"/>
                <w:sz w:val="18"/>
              </w:rPr>
              <w:t>-50.00</w:t>
            </w:r>
          </w:p>
        </w:tc>
        <w:tc>
          <w:tcPr>
            <w:tcW w:type="dxa" w:w="864"/>
          </w:tcPr>
          <w:p>
            <w:pPr>
              <w:jc w:val="right"/>
            </w:pPr>
            <w:r>
              <w:rPr>
                <w:rFonts w:ascii="宋体" w:hAnsi="宋体" w:eastAsia="宋体"/>
                <w:b w:val="0"/>
                <w:sz w:val="18"/>
              </w:rPr>
              <w:t>-2.2%</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其中：营业成本</w:t>
            </w:r>
          </w:p>
        </w:tc>
        <w:tc>
          <w:tcPr>
            <w:tcW w:type="dxa" w:w="864"/>
          </w:tcPr>
          <w:p>
            <w:pPr>
              <w:jc w:val="right"/>
            </w:pPr>
            <w:r>
              <w:rPr>
                <w:rFonts w:ascii="宋体" w:hAnsi="宋体" w:eastAsia="宋体"/>
                <w:b w:val="0"/>
                <w:sz w:val="18"/>
              </w:rPr>
              <w:t>1,088.00</w:t>
            </w:r>
          </w:p>
        </w:tc>
        <w:tc>
          <w:tcPr>
            <w:tcW w:type="dxa" w:w="864"/>
          </w:tcPr>
          <w:p>
            <w:pPr>
              <w:jc w:val="right"/>
            </w:pPr>
            <w:r>
              <w:rPr>
                <w:rFonts w:ascii="宋体" w:hAnsi="宋体" w:eastAsia="宋体"/>
                <w:b w:val="0"/>
                <w:sz w:val="18"/>
              </w:rPr>
              <w:t>882.60</w:t>
            </w:r>
          </w:p>
        </w:tc>
        <w:tc>
          <w:tcPr>
            <w:tcW w:type="dxa" w:w="864"/>
          </w:tcPr>
          <w:p>
            <w:pPr>
              <w:jc w:val="right"/>
            </w:pPr>
            <w:r>
              <w:rPr>
                <w:rFonts w:ascii="宋体" w:hAnsi="宋体" w:eastAsia="宋体"/>
                <w:b w:val="0"/>
                <w:sz w:val="18"/>
              </w:rPr>
              <w:t>-205.40</w:t>
            </w:r>
          </w:p>
        </w:tc>
        <w:tc>
          <w:tcPr>
            <w:tcW w:type="dxa" w:w="864"/>
          </w:tcPr>
          <w:p>
            <w:pPr>
              <w:jc w:val="right"/>
            </w:pPr>
            <w:r>
              <w:rPr>
                <w:rFonts w:ascii="宋体" w:hAnsi="宋体" w:eastAsia="宋体"/>
                <w:b w:val="0"/>
                <w:sz w:val="18"/>
              </w:rPr>
              <w:t>-18.9%</w:t>
            </w:r>
          </w:p>
        </w:tc>
        <w:tc>
          <w:tcPr>
            <w:tcW w:type="dxa" w:w="864"/>
          </w:tcPr>
          <w:p>
            <w:pPr>
              <w:jc w:val="right"/>
            </w:pPr>
            <w:r>
              <w:rPr>
                <w:rFonts w:ascii="宋体" w:hAnsi="宋体" w:eastAsia="宋体"/>
                <w:b w:val="0"/>
                <w:sz w:val="18"/>
              </w:rPr>
              <w:t>879.20</w:t>
            </w:r>
          </w:p>
        </w:tc>
        <w:tc>
          <w:tcPr>
            <w:tcW w:type="dxa" w:w="864"/>
          </w:tcPr>
          <w:p>
            <w:pPr>
              <w:jc w:val="right"/>
            </w:pPr>
            <w:r>
              <w:rPr>
                <w:rFonts w:ascii="宋体" w:hAnsi="宋体" w:eastAsia="宋体"/>
                <w:b w:val="0"/>
                <w:sz w:val="18"/>
              </w:rPr>
              <w:t>-3.40</w:t>
            </w:r>
          </w:p>
        </w:tc>
        <w:tc>
          <w:tcPr>
            <w:tcW w:type="dxa" w:w="864"/>
          </w:tcPr>
          <w:p>
            <w:pPr>
              <w:jc w:val="right"/>
            </w:pPr>
            <w:r>
              <w:rPr>
                <w:rFonts w:ascii="宋体" w:hAnsi="宋体" w:eastAsia="宋体"/>
                <w:b w:val="0"/>
                <w:sz w:val="18"/>
              </w:rPr>
              <w:t>-0.4%</w:t>
            </w:r>
          </w:p>
        </w:tc>
        <w:tc>
          <w:tcPr>
            <w:tcW w:type="dxa" w:w="864"/>
          </w:tcPr>
          <w:p>
            <w:pPr>
              <w:jc w:val="right"/>
            </w:pPr>
            <w:r>
              <w:rPr>
                <w:rFonts w:ascii="宋体" w:hAnsi="宋体" w:eastAsia="宋体"/>
                <w:b w:val="0"/>
                <w:sz w:val="18"/>
              </w:rPr>
              <w:t>641.30</w:t>
            </w:r>
          </w:p>
        </w:tc>
        <w:tc>
          <w:tcPr>
            <w:tcW w:type="dxa" w:w="864"/>
          </w:tcPr>
          <w:p>
            <w:pPr>
              <w:jc w:val="right"/>
            </w:pPr>
            <w:r>
              <w:rPr>
                <w:rFonts w:ascii="宋体" w:hAnsi="宋体" w:eastAsia="宋体"/>
                <w:b w:val="0"/>
                <w:sz w:val="18"/>
              </w:rPr>
              <w:t>+32.3%</w:t>
            </w:r>
          </w:p>
        </w:tc>
      </w:tr>
      <w:tr>
        <w:tc>
          <w:tcPr>
            <w:tcW w:type="dxa" w:w="864"/>
          </w:tcPr>
          <w:p>
            <w:pPr>
              <w:jc w:val="right"/>
            </w:pPr>
            <w:r>
              <w:rPr>
                <w:rFonts w:ascii="宋体" w:hAnsi="宋体" w:eastAsia="宋体"/>
                <w:b w:val="0"/>
                <w:sz w:val="18"/>
              </w:rPr>
              <w:t>税金及附加</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154.10</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54.30</w:t>
            </w:r>
          </w:p>
        </w:tc>
        <w:tc>
          <w:tcPr>
            <w:tcW w:type="dxa" w:w="864"/>
          </w:tcPr>
          <w:p>
            <w:pPr>
              <w:jc w:val="right"/>
            </w:pPr>
            <w:r>
              <w:rPr>
                <w:rFonts w:ascii="宋体" w:hAnsi="宋体" w:eastAsia="宋体"/>
                <w:b w:val="0"/>
                <w:sz w:val="18"/>
              </w:rPr>
              <w:t>+8.5%</w:t>
            </w:r>
          </w:p>
        </w:tc>
      </w:tr>
      <w:tr>
        <w:tc>
          <w:tcPr>
            <w:tcW w:type="dxa" w:w="864"/>
          </w:tcPr>
          <w:p>
            <w:pPr>
              <w:jc w:val="right"/>
            </w:pPr>
            <w:r>
              <w:rPr>
                <w:rFonts w:ascii="宋体" w:hAnsi="宋体" w:eastAsia="宋体"/>
                <w:b w:val="0"/>
                <w:sz w:val="18"/>
              </w:rPr>
              <w:t>销售费用</w:t>
            </w:r>
          </w:p>
        </w:tc>
        <w:tc>
          <w:tcPr>
            <w:tcW w:type="dxa" w:w="864"/>
          </w:tcPr>
          <w:p>
            <w:pPr>
              <w:jc w:val="right"/>
            </w:pPr>
            <w:r>
              <w:rPr>
                <w:rFonts w:ascii="宋体" w:hAnsi="宋体" w:eastAsia="宋体"/>
                <w:b w:val="0"/>
                <w:sz w:val="18"/>
              </w:rPr>
              <w:t>109.50</w:t>
            </w:r>
          </w:p>
        </w:tc>
        <w:tc>
          <w:tcPr>
            <w:tcW w:type="dxa" w:w="864"/>
          </w:tcPr>
          <w:p>
            <w:pPr>
              <w:jc w:val="right"/>
            </w:pPr>
            <w:r>
              <w:rPr>
                <w:rFonts w:ascii="宋体" w:hAnsi="宋体" w:eastAsia="宋体"/>
                <w:b w:val="0"/>
                <w:sz w:val="18"/>
              </w:rPr>
              <w:t>111.40</w:t>
            </w:r>
          </w:p>
        </w:tc>
        <w:tc>
          <w:tcPr>
            <w:tcW w:type="dxa" w:w="864"/>
          </w:tcPr>
          <w:p>
            <w:pPr>
              <w:jc w:val="right"/>
            </w:pPr>
            <w:r>
              <w:rPr>
                <w:rFonts w:ascii="宋体" w:hAnsi="宋体" w:eastAsia="宋体"/>
                <w:b w:val="0"/>
                <w:sz w:val="18"/>
              </w:rPr>
              <w:t>1.90</w:t>
            </w:r>
          </w:p>
        </w:tc>
        <w:tc>
          <w:tcPr>
            <w:tcW w:type="dxa" w:w="864"/>
          </w:tcPr>
          <w:p>
            <w:pPr>
              <w:jc w:val="right"/>
            </w:pPr>
            <w:r>
              <w:rPr>
                <w:rFonts w:ascii="宋体" w:hAnsi="宋体" w:eastAsia="宋体"/>
                <w:b w:val="0"/>
                <w:sz w:val="18"/>
              </w:rPr>
              <w:t>+1.7%</w:t>
            </w:r>
          </w:p>
        </w:tc>
        <w:tc>
          <w:tcPr>
            <w:tcW w:type="dxa" w:w="864"/>
          </w:tcPr>
          <w:p>
            <w:pPr>
              <w:jc w:val="right"/>
            </w:pPr>
            <w:r>
              <w:rPr>
                <w:rFonts w:ascii="宋体" w:hAnsi="宋体" w:eastAsia="宋体"/>
                <w:b w:val="0"/>
                <w:sz w:val="18"/>
              </w:rPr>
              <w:t>120.40</w:t>
            </w:r>
          </w:p>
        </w:tc>
        <w:tc>
          <w:tcPr>
            <w:tcW w:type="dxa" w:w="864"/>
          </w:tcPr>
          <w:p>
            <w:pPr>
              <w:jc w:val="right"/>
            </w:pPr>
            <w:r>
              <w:rPr>
                <w:rFonts w:ascii="宋体" w:hAnsi="宋体" w:eastAsia="宋体"/>
                <w:b w:val="0"/>
                <w:sz w:val="18"/>
              </w:rPr>
              <w:t>9.00</w:t>
            </w:r>
          </w:p>
        </w:tc>
        <w:tc>
          <w:tcPr>
            <w:tcW w:type="dxa" w:w="864"/>
          </w:tcPr>
          <w:p>
            <w:pPr>
              <w:jc w:val="right"/>
            </w:pPr>
            <w:r>
              <w:rPr>
                <w:rFonts w:ascii="宋体" w:hAnsi="宋体" w:eastAsia="宋体"/>
                <w:b w:val="0"/>
                <w:sz w:val="18"/>
              </w:rPr>
              <w:t>+8.1%</w:t>
            </w:r>
          </w:p>
        </w:tc>
        <w:tc>
          <w:tcPr>
            <w:tcW w:type="dxa" w:w="864"/>
          </w:tcPr>
          <w:p>
            <w:pPr>
              <w:jc w:val="right"/>
            </w:pPr>
            <w:r>
              <w:rPr>
                <w:rFonts w:ascii="宋体" w:hAnsi="宋体" w:eastAsia="宋体"/>
                <w:b w:val="0"/>
                <w:sz w:val="18"/>
              </w:rPr>
              <w:t>1.24</w:t>
            </w:r>
          </w:p>
        </w:tc>
        <w:tc>
          <w:tcPr>
            <w:tcW w:type="dxa" w:w="864"/>
          </w:tcPr>
          <w:p>
            <w:pPr>
              <w:jc w:val="right"/>
            </w:pPr>
            <w:r>
              <w:rPr>
                <w:rFonts w:ascii="宋体" w:hAnsi="宋体" w:eastAsia="宋体"/>
                <w:b w:val="0"/>
                <w:sz w:val="18"/>
              </w:rPr>
              <w:t>-86.8%</w:t>
            </w:r>
          </w:p>
        </w:tc>
      </w:tr>
      <w:tr>
        <w:tc>
          <w:tcPr>
            <w:tcW w:type="dxa" w:w="864"/>
          </w:tcPr>
          <w:p>
            <w:pPr>
              <w:jc w:val="right"/>
            </w:pPr>
            <w:r>
              <w:rPr>
                <w:rFonts w:ascii="宋体" w:hAnsi="宋体" w:eastAsia="宋体"/>
                <w:b w:val="0"/>
                <w:sz w:val="18"/>
              </w:rPr>
              <w:t>管理费用</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50.33</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54.00</w:t>
            </w:r>
          </w:p>
        </w:tc>
        <w:tc>
          <w:tcPr>
            <w:tcW w:type="dxa" w:w="864"/>
          </w:tcPr>
          <w:p>
            <w:pPr>
              <w:jc w:val="right"/>
            </w:pPr>
            <w:r>
              <w:rPr>
                <w:rFonts w:ascii="宋体" w:hAnsi="宋体" w:eastAsia="宋体"/>
                <w:b w:val="0"/>
                <w:sz w:val="18"/>
              </w:rPr>
              <w:t>3.67</w:t>
            </w:r>
          </w:p>
        </w:tc>
        <w:tc>
          <w:tcPr>
            <w:tcW w:type="dxa" w:w="864"/>
          </w:tcPr>
          <w:p>
            <w:pPr>
              <w:jc w:val="right"/>
            </w:pPr>
            <w:r>
              <w:rPr>
                <w:rFonts w:ascii="宋体" w:hAnsi="宋体" w:eastAsia="宋体"/>
                <w:b w:val="0"/>
                <w:sz w:val="18"/>
              </w:rPr>
              <w:t>+7.3%</w:t>
            </w:r>
          </w:p>
        </w:tc>
        <w:tc>
          <w:tcPr>
            <w:tcW w:type="dxa" w:w="864"/>
          </w:tcPr>
          <w:p>
            <w:pPr>
              <w:jc w:val="right"/>
            </w:pPr>
            <w:r>
              <w:rPr>
                <w:rFonts w:ascii="宋体" w:hAnsi="宋体" w:eastAsia="宋体"/>
                <w:b w:val="0"/>
                <w:sz w:val="18"/>
              </w:rPr>
              <w:t>16.93</w:t>
            </w:r>
          </w:p>
        </w:tc>
        <w:tc>
          <w:tcPr>
            <w:tcW w:type="dxa" w:w="864"/>
          </w:tcPr>
          <w:p>
            <w:pPr>
              <w:jc w:val="right"/>
            </w:pPr>
            <w:r>
              <w:rPr>
                <w:rFonts w:ascii="宋体" w:hAnsi="宋体" w:eastAsia="宋体"/>
                <w:b w:val="0"/>
                <w:sz w:val="18"/>
              </w:rPr>
              <w:t>+2.7%</w:t>
            </w:r>
          </w:p>
        </w:tc>
      </w:tr>
      <w:tr>
        <w:tc>
          <w:tcPr>
            <w:tcW w:type="dxa" w:w="864"/>
          </w:tcPr>
          <w:p>
            <w:pPr>
              <w:jc w:val="right"/>
            </w:pPr>
            <w:r>
              <w:rPr>
                <w:rFonts w:ascii="宋体" w:hAnsi="宋体" w:eastAsia="宋体"/>
                <w:b w:val="0"/>
                <w:sz w:val="18"/>
              </w:rPr>
              <w:t>研发费用</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12.22</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11.12</w:t>
            </w:r>
          </w:p>
        </w:tc>
        <w:tc>
          <w:tcPr>
            <w:tcW w:type="dxa" w:w="864"/>
          </w:tcPr>
          <w:p>
            <w:pPr>
              <w:jc w:val="right"/>
            </w:pPr>
            <w:r>
              <w:rPr>
                <w:rFonts w:ascii="宋体" w:hAnsi="宋体" w:eastAsia="宋体"/>
                <w:b w:val="0"/>
                <w:sz w:val="18"/>
              </w:rPr>
              <w:t>-1.10</w:t>
            </w:r>
          </w:p>
        </w:tc>
        <w:tc>
          <w:tcPr>
            <w:tcW w:type="dxa" w:w="864"/>
          </w:tcPr>
          <w:p>
            <w:pPr>
              <w:jc w:val="right"/>
            </w:pPr>
            <w:r>
              <w:rPr>
                <w:rFonts w:ascii="宋体" w:hAnsi="宋体" w:eastAsia="宋体"/>
                <w:b w:val="0"/>
                <w:sz w:val="18"/>
              </w:rPr>
              <w:t>-9.0%</w:t>
            </w:r>
          </w:p>
        </w:tc>
        <w:tc>
          <w:tcPr>
            <w:tcW w:type="dxa" w:w="864"/>
          </w:tcPr>
          <w:p>
            <w:pPr>
              <w:jc w:val="right"/>
            </w:pPr>
            <w:r>
              <w:rPr>
                <w:rFonts w:ascii="宋体" w:hAnsi="宋体" w:eastAsia="宋体"/>
                <w:b w:val="0"/>
                <w:sz w:val="18"/>
              </w:rPr>
              <w:t>3.06</w:t>
            </w:r>
          </w:p>
        </w:tc>
        <w:tc>
          <w:tcPr>
            <w:tcW w:type="dxa" w:w="864"/>
          </w:tcPr>
          <w:p>
            <w:pPr>
              <w:jc w:val="right"/>
            </w:pPr>
            <w:r>
              <w:rPr>
                <w:rFonts w:ascii="宋体" w:hAnsi="宋体" w:eastAsia="宋体"/>
                <w:b w:val="0"/>
                <w:sz w:val="18"/>
              </w:rPr>
              <w:t>-4.7%</w:t>
            </w:r>
          </w:p>
        </w:tc>
      </w:tr>
      <w:tr>
        <w:tc>
          <w:tcPr>
            <w:tcW w:type="dxa" w:w="864"/>
          </w:tcPr>
          <w:p>
            <w:pPr>
              <w:jc w:val="right"/>
            </w:pPr>
            <w:r>
              <w:rPr>
                <w:rFonts w:ascii="宋体" w:hAnsi="宋体" w:eastAsia="宋体"/>
                <w:b w:val="0"/>
                <w:sz w:val="18"/>
              </w:rPr>
              <w:t>财务费用</w:t>
            </w:r>
          </w:p>
        </w:tc>
        <w:tc>
          <w:tcPr>
            <w:tcW w:type="dxa" w:w="864"/>
          </w:tcPr>
          <w:p>
            <w:pPr>
              <w:jc w:val="right"/>
            </w:pPr>
            <w:r>
              <w:rPr>
                <w:rFonts w:ascii="宋体" w:hAnsi="宋体" w:eastAsia="宋体"/>
                <w:b w:val="0"/>
                <w:sz w:val="18"/>
              </w:rPr>
              <w:t>-53.54</w:t>
            </w:r>
          </w:p>
        </w:tc>
        <w:tc>
          <w:tcPr>
            <w:tcW w:type="dxa" w:w="864"/>
          </w:tcPr>
          <w:p>
            <w:pPr>
              <w:jc w:val="right"/>
            </w:pPr>
            <w:r>
              <w:rPr>
                <w:rFonts w:ascii="宋体" w:hAnsi="宋体" w:eastAsia="宋体"/>
                <w:b w:val="0"/>
                <w:sz w:val="18"/>
              </w:rPr>
              <w:t>-60.96</w:t>
            </w:r>
          </w:p>
        </w:tc>
        <w:tc>
          <w:tcPr>
            <w:tcW w:type="dxa" w:w="864"/>
          </w:tcPr>
          <w:p>
            <w:pPr>
              <w:jc w:val="right"/>
            </w:pPr>
            <w:r>
              <w:rPr>
                <w:rFonts w:ascii="宋体" w:hAnsi="宋体" w:eastAsia="宋体"/>
                <w:b w:val="0"/>
                <w:sz w:val="18"/>
              </w:rPr>
              <w:t>-7.42</w:t>
            </w:r>
          </w:p>
        </w:tc>
        <w:tc>
          <w:tcPr>
            <w:tcW w:type="dxa" w:w="864"/>
          </w:tcPr>
          <w:p>
            <w:pPr>
              <w:jc w:val="right"/>
            </w:pPr>
            <w:r>
              <w:rPr>
                <w:rFonts w:ascii="宋体" w:hAnsi="宋体" w:eastAsia="宋体"/>
                <w:b w:val="0"/>
                <w:sz w:val="18"/>
              </w:rPr>
              <w:t>+13.9%</w:t>
            </w:r>
          </w:p>
        </w:tc>
        <w:tc>
          <w:tcPr>
            <w:tcW w:type="dxa" w:w="864"/>
          </w:tcPr>
          <w:p>
            <w:pPr>
              <w:jc w:val="right"/>
            </w:pPr>
            <w:r>
              <w:rPr>
                <w:rFonts w:ascii="宋体" w:hAnsi="宋体" w:eastAsia="宋体"/>
                <w:b w:val="0"/>
                <w:sz w:val="18"/>
              </w:rPr>
              <w:t>-65.12</w:t>
            </w:r>
          </w:p>
        </w:tc>
        <w:tc>
          <w:tcPr>
            <w:tcW w:type="dxa" w:w="864"/>
          </w:tcPr>
          <w:p>
            <w:pPr>
              <w:jc w:val="right"/>
            </w:pPr>
            <w:r>
              <w:rPr>
                <w:rFonts w:ascii="宋体" w:hAnsi="宋体" w:eastAsia="宋体"/>
                <w:b w:val="0"/>
                <w:sz w:val="18"/>
              </w:rPr>
              <w:t>-4.16</w:t>
            </w:r>
          </w:p>
        </w:tc>
        <w:tc>
          <w:tcPr>
            <w:tcW w:type="dxa" w:w="864"/>
          </w:tcPr>
          <w:p>
            <w:pPr>
              <w:jc w:val="right"/>
            </w:pPr>
            <w:r>
              <w:rPr>
                <w:rFonts w:ascii="宋体" w:hAnsi="宋体" w:eastAsia="宋体"/>
                <w:b w:val="0"/>
                <w:sz w:val="18"/>
              </w:rPr>
              <w:t>+6.8%</w:t>
            </w:r>
          </w:p>
        </w:tc>
        <w:tc>
          <w:tcPr>
            <w:tcW w:type="dxa" w:w="864"/>
          </w:tcPr>
          <w:p>
            <w:pPr>
              <w:jc w:val="right"/>
            </w:pPr>
            <w:r>
              <w:rPr>
                <w:rFonts w:ascii="宋体" w:hAnsi="宋体" w:eastAsia="宋体"/>
                <w:b w:val="0"/>
                <w:sz w:val="18"/>
              </w:rPr>
              <w:t>-1.00</w:t>
            </w:r>
          </w:p>
        </w:tc>
        <w:tc>
          <w:tcPr>
            <w:tcW w:type="dxa" w:w="864"/>
          </w:tcPr>
          <w:p>
            <w:pPr>
              <w:jc w:val="right"/>
            </w:pPr>
            <w:r>
              <w:rPr>
                <w:rFonts w:ascii="宋体" w:hAnsi="宋体" w:eastAsia="宋体"/>
                <w:b w:val="0"/>
                <w:sz w:val="18"/>
              </w:rPr>
              <w:t>-35.5%</w:t>
            </w:r>
          </w:p>
        </w:tc>
      </w:tr>
      <w:tr>
        <w:tc>
          <w:tcPr>
            <w:tcW w:type="dxa" w:w="864"/>
          </w:tcPr>
          <w:p>
            <w:pPr>
              <w:jc w:val="right"/>
            </w:pPr>
            <w:r>
              <w:rPr>
                <w:rFonts w:ascii="宋体" w:hAnsi="宋体" w:eastAsia="宋体"/>
                <w:b w:val="0"/>
                <w:sz w:val="18"/>
              </w:rPr>
              <w:t>其中：利息费用</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其中：利息收入</w:t>
            </w:r>
          </w:p>
        </w:tc>
        <w:tc>
          <w:tcPr>
            <w:tcW w:type="dxa" w:w="864"/>
          </w:tcPr>
          <w:p>
            <w:pPr>
              <w:jc w:val="right"/>
            </w:pPr>
            <w:r>
              <w:rPr>
                <w:rFonts w:ascii="宋体" w:hAnsi="宋体" w:eastAsia="宋体"/>
                <w:b w:val="0"/>
                <w:sz w:val="18"/>
              </w:rPr>
              <w:t>48.05</w:t>
            </w:r>
          </w:p>
        </w:tc>
        <w:tc>
          <w:tcPr>
            <w:tcW w:type="dxa" w:w="864"/>
          </w:tcPr>
          <w:p>
            <w:pPr>
              <w:jc w:val="right"/>
            </w:pPr>
            <w:r>
              <w:rPr>
                <w:rFonts w:ascii="宋体" w:hAnsi="宋体" w:eastAsia="宋体"/>
                <w:b w:val="0"/>
                <w:sz w:val="18"/>
              </w:rPr>
              <w:t>45.82</w:t>
            </w:r>
          </w:p>
        </w:tc>
        <w:tc>
          <w:tcPr>
            <w:tcW w:type="dxa" w:w="864"/>
          </w:tcPr>
          <w:p>
            <w:pPr>
              <w:jc w:val="right"/>
            </w:pPr>
            <w:r>
              <w:rPr>
                <w:rFonts w:ascii="宋体" w:hAnsi="宋体" w:eastAsia="宋体"/>
                <w:b w:val="0"/>
                <w:sz w:val="18"/>
              </w:rPr>
              <w:t>-2.23</w:t>
            </w:r>
          </w:p>
        </w:tc>
        <w:tc>
          <w:tcPr>
            <w:tcW w:type="dxa" w:w="864"/>
          </w:tcPr>
          <w:p>
            <w:pPr>
              <w:jc w:val="right"/>
            </w:pPr>
            <w:r>
              <w:rPr>
                <w:rFonts w:ascii="宋体" w:hAnsi="宋体" w:eastAsia="宋体"/>
                <w:b w:val="0"/>
                <w:sz w:val="18"/>
              </w:rPr>
              <w:t>-4.6%</w:t>
            </w:r>
          </w:p>
        </w:tc>
        <w:tc>
          <w:tcPr>
            <w:tcW w:type="dxa" w:w="864"/>
          </w:tcPr>
          <w:p>
            <w:pPr>
              <w:jc w:val="right"/>
            </w:pPr>
            <w:r>
              <w:rPr>
                <w:rFonts w:ascii="宋体" w:hAnsi="宋体" w:eastAsia="宋体"/>
                <w:b w:val="0"/>
                <w:sz w:val="18"/>
              </w:rPr>
              <w:t>50.62</w:t>
            </w:r>
          </w:p>
        </w:tc>
        <w:tc>
          <w:tcPr>
            <w:tcW w:type="dxa" w:w="864"/>
          </w:tcPr>
          <w:p>
            <w:pPr>
              <w:jc w:val="right"/>
            </w:pPr>
            <w:r>
              <w:rPr>
                <w:rFonts w:ascii="宋体" w:hAnsi="宋体" w:eastAsia="宋体"/>
                <w:b w:val="0"/>
                <w:sz w:val="18"/>
              </w:rPr>
              <w:t>4.80</w:t>
            </w:r>
          </w:p>
        </w:tc>
        <w:tc>
          <w:tcPr>
            <w:tcW w:type="dxa" w:w="864"/>
          </w:tcPr>
          <w:p>
            <w:pPr>
              <w:jc w:val="right"/>
            </w:pPr>
            <w:r>
              <w:rPr>
                <w:rFonts w:ascii="宋体" w:hAnsi="宋体" w:eastAsia="宋体"/>
                <w:b w:val="0"/>
                <w:sz w:val="18"/>
              </w:rPr>
              <w:t>+10.5%</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加：其他收益</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15.96</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-9.43</w:t>
            </w:r>
          </w:p>
        </w:tc>
        <w:tc>
          <w:tcPr>
            <w:tcW w:type="dxa" w:w="864"/>
          </w:tcPr>
          <w:p>
            <w:pPr>
              <w:jc w:val="right"/>
            </w:pPr>
            <w:r>
              <w:rPr>
                <w:rFonts w:ascii="宋体" w:hAnsi="宋体" w:eastAsia="宋体"/>
                <w:b w:val="0"/>
                <w:sz w:val="18"/>
              </w:rPr>
              <w:t>-25.39</w:t>
            </w:r>
          </w:p>
        </w:tc>
        <w:tc>
          <w:tcPr>
            <w:tcW w:type="dxa" w:w="864"/>
          </w:tcPr>
          <w:p>
            <w:pPr>
              <w:jc w:val="right"/>
            </w:pPr>
            <w:r>
              <w:rPr>
                <w:rFonts w:ascii="宋体" w:hAnsi="宋体" w:eastAsia="宋体"/>
                <w:b w:val="0"/>
                <w:sz w:val="18"/>
              </w:rPr>
              <w:t>-159.1%</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投资收益</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7.57</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5.82</w:t>
            </w:r>
          </w:p>
        </w:tc>
        <w:tc>
          <w:tcPr>
            <w:tcW w:type="dxa" w:w="864"/>
          </w:tcPr>
          <w:p>
            <w:pPr>
              <w:jc w:val="right"/>
            </w:pPr>
            <w:r>
              <w:rPr>
                <w:rFonts w:ascii="宋体" w:hAnsi="宋体" w:eastAsia="宋体"/>
                <w:b w:val="0"/>
                <w:sz w:val="18"/>
              </w:rPr>
              <w:t>-1.75</w:t>
            </w:r>
          </w:p>
        </w:tc>
        <w:tc>
          <w:tcPr>
            <w:tcW w:type="dxa" w:w="864"/>
          </w:tcPr>
          <w:p>
            <w:pPr>
              <w:jc w:val="right"/>
            </w:pPr>
            <w:r>
              <w:rPr>
                <w:rFonts w:ascii="宋体" w:hAnsi="宋体" w:eastAsia="宋体"/>
                <w:b w:val="0"/>
                <w:sz w:val="18"/>
              </w:rPr>
              <w:t>-23.1%</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其中：对联营企业和合营企业的投资收益</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公允价值变动收益</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9.80</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5.15</w:t>
            </w:r>
          </w:p>
        </w:tc>
        <w:tc>
          <w:tcPr>
            <w:tcW w:type="dxa" w:w="864"/>
          </w:tcPr>
          <w:p>
            <w:pPr>
              <w:jc w:val="right"/>
            </w:pPr>
            <w:r>
              <w:rPr>
                <w:rFonts w:ascii="宋体" w:hAnsi="宋体" w:eastAsia="宋体"/>
                <w:b w:val="0"/>
                <w:sz w:val="18"/>
              </w:rPr>
              <w:t>-4.65</w:t>
            </w:r>
          </w:p>
        </w:tc>
        <w:tc>
          <w:tcPr>
            <w:tcW w:type="dxa" w:w="864"/>
          </w:tcPr>
          <w:p>
            <w:pPr>
              <w:jc w:val="right"/>
            </w:pPr>
            <w:r>
              <w:rPr>
                <w:rFonts w:ascii="宋体" w:hAnsi="宋体" w:eastAsia="宋体"/>
                <w:b w:val="0"/>
                <w:sz w:val="18"/>
              </w:rPr>
              <w:t>-47.4%</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信用减值损失</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资产减值损失</w:t>
            </w:r>
          </w:p>
        </w:tc>
        <w:tc>
          <w:tcPr>
            <w:tcW w:type="dxa" w:w="864"/>
          </w:tcPr>
          <w:p>
            <w:pPr>
              <w:jc w:val="right"/>
            </w:pPr>
            <w:r>
              <w:rPr>
                <w:rFonts w:ascii="宋体" w:hAnsi="宋体" w:eastAsia="宋体"/>
                <w:b w:val="0"/>
                <w:sz w:val="18"/>
              </w:rPr>
              <w:t>35.97</w:t>
            </w:r>
          </w:p>
        </w:tc>
        <w:tc>
          <w:tcPr>
            <w:tcW w:type="dxa" w:w="864"/>
          </w:tcPr>
          <w:p>
            <w:pPr>
              <w:jc w:val="right"/>
            </w:pPr>
            <w:r>
              <w:rPr>
                <w:rFonts w:ascii="宋体" w:hAnsi="宋体" w:eastAsia="宋体"/>
                <w:b w:val="0"/>
                <w:sz w:val="18"/>
              </w:rPr>
              <w:t>80.76</w:t>
            </w:r>
          </w:p>
        </w:tc>
        <w:tc>
          <w:tcPr>
            <w:tcW w:type="dxa" w:w="864"/>
          </w:tcPr>
          <w:p>
            <w:pPr>
              <w:jc w:val="right"/>
            </w:pPr>
            <w:r>
              <w:rPr>
                <w:rFonts w:ascii="宋体" w:hAnsi="宋体" w:eastAsia="宋体"/>
                <w:b w:val="0"/>
                <w:sz w:val="18"/>
              </w:rPr>
              <w:t>44.79</w:t>
            </w:r>
          </w:p>
        </w:tc>
        <w:tc>
          <w:tcPr>
            <w:tcW w:type="dxa" w:w="864"/>
          </w:tcPr>
          <w:p>
            <w:pPr>
              <w:jc w:val="right"/>
            </w:pPr>
            <w:r>
              <w:rPr>
                <w:rFonts w:ascii="宋体" w:hAnsi="宋体" w:eastAsia="宋体"/>
                <w:b w:val="0"/>
                <w:sz w:val="18"/>
              </w:rPr>
              <w:t>+124.5%</w:t>
            </w:r>
          </w:p>
        </w:tc>
        <w:tc>
          <w:tcPr>
            <w:tcW w:type="dxa" w:w="864"/>
          </w:tcPr>
          <w:p>
            <w:pPr>
              <w:jc w:val="right"/>
            </w:pPr>
            <w:r>
              <w:rPr>
                <w:rFonts w:ascii="宋体" w:hAnsi="宋体" w:eastAsia="宋体"/>
                <w:b w:val="0"/>
                <w:sz w:val="18"/>
              </w:rPr>
              <w:t>38.18</w:t>
            </w:r>
          </w:p>
        </w:tc>
        <w:tc>
          <w:tcPr>
            <w:tcW w:type="dxa" w:w="864"/>
          </w:tcPr>
          <w:p>
            <w:pPr>
              <w:jc w:val="right"/>
            </w:pPr>
            <w:r>
              <w:rPr>
                <w:rFonts w:ascii="宋体" w:hAnsi="宋体" w:eastAsia="宋体"/>
                <w:b w:val="0"/>
                <w:sz w:val="18"/>
              </w:rPr>
              <w:t>-42.58</w:t>
            </w:r>
          </w:p>
        </w:tc>
        <w:tc>
          <w:tcPr>
            <w:tcW w:type="dxa" w:w="864"/>
          </w:tcPr>
          <w:p>
            <w:pPr>
              <w:jc w:val="right"/>
            </w:pPr>
            <w:r>
              <w:rPr>
                <w:rFonts w:ascii="宋体" w:hAnsi="宋体" w:eastAsia="宋体"/>
                <w:b w:val="0"/>
                <w:sz w:val="18"/>
              </w:rPr>
              <w:t>-52.7%</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资产处置收益</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三、营业利润</w:t>
            </w:r>
          </w:p>
        </w:tc>
        <w:tc>
          <w:tcPr>
            <w:tcW w:type="dxa" w:w="864"/>
          </w:tcPr>
          <w:p>
            <w:pPr>
              <w:jc w:val="right"/>
            </w:pPr>
            <w:r>
              <w:rPr>
                <w:rFonts w:ascii="宋体" w:hAnsi="宋体" w:eastAsia="宋体"/>
                <w:b w:val="0"/>
                <w:sz w:val="18"/>
              </w:rPr>
              <w:t>1,729.00</w:t>
            </w:r>
          </w:p>
        </w:tc>
        <w:tc>
          <w:tcPr>
            <w:tcW w:type="dxa" w:w="864"/>
          </w:tcPr>
          <w:p>
            <w:pPr>
              <w:jc w:val="right"/>
            </w:pPr>
            <w:r>
              <w:rPr>
                <w:rFonts w:ascii="宋体" w:hAnsi="宋体" w:eastAsia="宋体"/>
                <w:b w:val="0"/>
                <w:sz w:val="18"/>
              </w:rPr>
              <w:t>1,900.00</w:t>
            </w:r>
          </w:p>
        </w:tc>
        <w:tc>
          <w:tcPr>
            <w:tcW w:type="dxa" w:w="864"/>
          </w:tcPr>
          <w:p>
            <w:pPr>
              <w:jc w:val="right"/>
            </w:pPr>
            <w:r>
              <w:rPr>
                <w:rFonts w:ascii="宋体" w:hAnsi="宋体" w:eastAsia="宋体"/>
                <w:b w:val="0"/>
                <w:sz w:val="18"/>
              </w:rPr>
              <w:t>171.00</w:t>
            </w:r>
          </w:p>
        </w:tc>
        <w:tc>
          <w:tcPr>
            <w:tcW w:type="dxa" w:w="864"/>
          </w:tcPr>
          <w:p>
            <w:pPr>
              <w:jc w:val="right"/>
            </w:pPr>
            <w:r>
              <w:rPr>
                <w:rFonts w:ascii="宋体" w:hAnsi="宋体" w:eastAsia="宋体"/>
                <w:b w:val="0"/>
                <w:sz w:val="18"/>
              </w:rPr>
              <w:t>+9.9%</w:t>
            </w:r>
          </w:p>
        </w:tc>
        <w:tc>
          <w:tcPr>
            <w:tcW w:type="dxa" w:w="864"/>
          </w:tcPr>
          <w:p>
            <w:pPr>
              <w:jc w:val="right"/>
            </w:pPr>
            <w:r>
              <w:rPr>
                <w:rFonts w:ascii="宋体" w:hAnsi="宋体" w:eastAsia="宋体"/>
                <w:b w:val="0"/>
                <w:sz w:val="18"/>
              </w:rPr>
              <w:t>1,696.00</w:t>
            </w:r>
          </w:p>
        </w:tc>
        <w:tc>
          <w:tcPr>
            <w:tcW w:type="dxa" w:w="864"/>
          </w:tcPr>
          <w:p>
            <w:pPr>
              <w:jc w:val="right"/>
            </w:pPr>
            <w:r>
              <w:rPr>
                <w:rFonts w:ascii="宋体" w:hAnsi="宋体" w:eastAsia="宋体"/>
                <w:b w:val="0"/>
                <w:sz w:val="18"/>
              </w:rPr>
              <w:t>-204.00</w:t>
            </w:r>
          </w:p>
        </w:tc>
        <w:tc>
          <w:tcPr>
            <w:tcW w:type="dxa" w:w="864"/>
          </w:tcPr>
          <w:p>
            <w:pPr>
              <w:jc w:val="right"/>
            </w:pPr>
            <w:r>
              <w:rPr>
                <w:rFonts w:ascii="宋体" w:hAnsi="宋体" w:eastAsia="宋体"/>
                <w:b w:val="0"/>
                <w:sz w:val="18"/>
              </w:rPr>
              <w:t>-10.7%</w:t>
            </w:r>
          </w:p>
        </w:tc>
        <w:tc>
          <w:tcPr>
            <w:tcW w:type="dxa" w:w="864"/>
          </w:tcPr>
          <w:p>
            <w:pPr>
              <w:jc w:val="right"/>
            </w:pPr>
            <w:r>
              <w:rPr>
                <w:rFonts w:ascii="宋体" w:hAnsi="宋体" w:eastAsia="宋体"/>
                <w:b w:val="0"/>
                <w:sz w:val="18"/>
              </w:rPr>
              <w:t>523.50</w:t>
            </w:r>
          </w:p>
        </w:tc>
        <w:tc>
          <w:tcPr>
            <w:tcW w:type="dxa" w:w="864"/>
          </w:tcPr>
          <w:p>
            <w:pPr>
              <w:jc w:val="right"/>
            </w:pPr>
            <w:r>
              <w:rPr>
                <w:rFonts w:ascii="宋体" w:hAnsi="宋体" w:eastAsia="宋体"/>
                <w:b w:val="0"/>
                <w:sz w:val="18"/>
              </w:rPr>
              <w:t>+4.7%</w:t>
            </w:r>
          </w:p>
        </w:tc>
      </w:tr>
      <w:tr>
        <w:tc>
          <w:tcPr>
            <w:tcW w:type="dxa" w:w="864"/>
          </w:tcPr>
          <w:p>
            <w:pPr>
              <w:jc w:val="right"/>
            </w:pPr>
            <w:r>
              <w:rPr>
                <w:rFonts w:ascii="宋体" w:hAnsi="宋体" w:eastAsia="宋体"/>
                <w:b w:val="0"/>
                <w:sz w:val="18"/>
              </w:rPr>
              <w:t>加：营业外收入</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97.49</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88.84</w:t>
            </w:r>
          </w:p>
        </w:tc>
        <w:tc>
          <w:tcPr>
            <w:tcW w:type="dxa" w:w="864"/>
          </w:tcPr>
          <w:p>
            <w:pPr>
              <w:jc w:val="right"/>
            </w:pPr>
            <w:r>
              <w:rPr>
                <w:rFonts w:ascii="宋体" w:hAnsi="宋体" w:eastAsia="宋体"/>
                <w:b w:val="0"/>
                <w:sz w:val="18"/>
              </w:rPr>
              <w:t>-8.65</w:t>
            </w:r>
          </w:p>
        </w:tc>
        <w:tc>
          <w:tcPr>
            <w:tcW w:type="dxa" w:w="864"/>
          </w:tcPr>
          <w:p>
            <w:pPr>
              <w:jc w:val="right"/>
            </w:pPr>
            <w:r>
              <w:rPr>
                <w:rFonts w:ascii="宋体" w:hAnsi="宋体" w:eastAsia="宋体"/>
                <w:b w:val="0"/>
                <w:sz w:val="18"/>
              </w:rPr>
              <w:t>-8.9%</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减：营业外支出</w:t>
            </w:r>
          </w:p>
        </w:tc>
        <w:tc>
          <w:tcPr>
            <w:tcW w:type="dxa" w:w="864"/>
          </w:tcPr>
          <w:p>
            <w:pPr>
              <w:jc w:val="right"/>
            </w:pPr>
            <w:r>
              <w:rPr>
                <w:rFonts w:ascii="宋体" w:hAnsi="宋体" w:eastAsia="宋体"/>
                <w:b w:val="0"/>
                <w:sz w:val="18"/>
              </w:rPr>
              <w:t>565.90</w:t>
            </w:r>
          </w:p>
        </w:tc>
        <w:tc>
          <w:tcPr>
            <w:tcW w:type="dxa" w:w="864"/>
          </w:tcPr>
          <w:p>
            <w:pPr>
              <w:jc w:val="right"/>
            </w:pPr>
            <w:r>
              <w:rPr>
                <w:rFonts w:ascii="宋体" w:hAnsi="宋体" w:eastAsia="宋体"/>
                <w:b w:val="0"/>
                <w:sz w:val="18"/>
              </w:rPr>
              <w:t>537.20</w:t>
            </w:r>
          </w:p>
        </w:tc>
        <w:tc>
          <w:tcPr>
            <w:tcW w:type="dxa" w:w="864"/>
          </w:tcPr>
          <w:p>
            <w:pPr>
              <w:jc w:val="right"/>
            </w:pPr>
            <w:r>
              <w:rPr>
                <w:rFonts w:ascii="宋体" w:hAnsi="宋体" w:eastAsia="宋体"/>
                <w:b w:val="0"/>
                <w:sz w:val="18"/>
              </w:rPr>
              <w:t>-28.70</w:t>
            </w:r>
          </w:p>
        </w:tc>
        <w:tc>
          <w:tcPr>
            <w:tcW w:type="dxa" w:w="864"/>
          </w:tcPr>
          <w:p>
            <w:pPr>
              <w:jc w:val="right"/>
            </w:pPr>
            <w:r>
              <w:rPr>
                <w:rFonts w:ascii="宋体" w:hAnsi="宋体" w:eastAsia="宋体"/>
                <w:b w:val="0"/>
                <w:sz w:val="18"/>
              </w:rPr>
              <w:t>-5.1%</w:t>
            </w:r>
          </w:p>
        </w:tc>
        <w:tc>
          <w:tcPr>
            <w:tcW w:type="dxa" w:w="864"/>
          </w:tcPr>
          <w:p>
            <w:pPr>
              <w:jc w:val="right"/>
            </w:pPr>
            <w:r>
              <w:rPr>
                <w:rFonts w:ascii="宋体" w:hAnsi="宋体" w:eastAsia="宋体"/>
                <w:b w:val="0"/>
                <w:sz w:val="18"/>
              </w:rPr>
              <w:t>450.80</w:t>
            </w:r>
          </w:p>
        </w:tc>
        <w:tc>
          <w:tcPr>
            <w:tcW w:type="dxa" w:w="864"/>
          </w:tcPr>
          <w:p>
            <w:pPr>
              <w:jc w:val="right"/>
            </w:pPr>
            <w:r>
              <w:rPr>
                <w:rFonts w:ascii="宋体" w:hAnsi="宋体" w:eastAsia="宋体"/>
                <w:b w:val="0"/>
                <w:sz w:val="18"/>
              </w:rPr>
              <w:t>-86.40</w:t>
            </w:r>
          </w:p>
        </w:tc>
        <w:tc>
          <w:tcPr>
            <w:tcW w:type="dxa" w:w="864"/>
          </w:tcPr>
          <w:p>
            <w:pPr>
              <w:jc w:val="right"/>
            </w:pPr>
            <w:r>
              <w:rPr>
                <w:rFonts w:ascii="宋体" w:hAnsi="宋体" w:eastAsia="宋体"/>
                <w:b w:val="0"/>
                <w:sz w:val="18"/>
              </w:rPr>
              <w:t>-16.1%</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四、利润总额</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减：所得税费用</w:t>
            </w:r>
          </w:p>
        </w:tc>
        <w:tc>
          <w:tcPr>
            <w:tcW w:type="dxa" w:w="864"/>
          </w:tcPr>
          <w:p>
            <w:pPr>
              <w:jc w:val="right"/>
            </w:pPr>
            <w:r>
              <w:rPr>
                <w:rFonts w:ascii="宋体" w:hAnsi="宋体" w:eastAsia="宋体"/>
                <w:b w:val="0"/>
                <w:sz w:val="18"/>
              </w:rPr>
              <w:t>488.80</w:t>
            </w:r>
          </w:p>
        </w:tc>
        <w:tc>
          <w:tcPr>
            <w:tcW w:type="dxa" w:w="864"/>
          </w:tcPr>
          <w:p>
            <w:pPr>
              <w:jc w:val="right"/>
            </w:pPr>
            <w:r>
              <w:rPr>
                <w:rFonts w:ascii="宋体" w:hAnsi="宋体" w:eastAsia="宋体"/>
                <w:b w:val="0"/>
                <w:sz w:val="18"/>
              </w:rPr>
              <w:t>519.90</w:t>
            </w:r>
          </w:p>
        </w:tc>
        <w:tc>
          <w:tcPr>
            <w:tcW w:type="dxa" w:w="864"/>
          </w:tcPr>
          <w:p>
            <w:pPr>
              <w:jc w:val="right"/>
            </w:pPr>
            <w:r>
              <w:rPr>
                <w:rFonts w:ascii="宋体" w:hAnsi="宋体" w:eastAsia="宋体"/>
                <w:b w:val="0"/>
                <w:sz w:val="18"/>
              </w:rPr>
              <w:t>31.10</w:t>
            </w:r>
          </w:p>
        </w:tc>
        <w:tc>
          <w:tcPr>
            <w:tcW w:type="dxa" w:w="864"/>
          </w:tcPr>
          <w:p>
            <w:pPr>
              <w:jc w:val="right"/>
            </w:pPr>
            <w:r>
              <w:rPr>
                <w:rFonts w:ascii="宋体" w:hAnsi="宋体" w:eastAsia="宋体"/>
                <w:b w:val="0"/>
                <w:sz w:val="18"/>
              </w:rPr>
              <w:t>+6.4%</w:t>
            </w:r>
          </w:p>
        </w:tc>
        <w:tc>
          <w:tcPr>
            <w:tcW w:type="dxa" w:w="864"/>
          </w:tcPr>
          <w:p>
            <w:pPr>
              <w:jc w:val="right"/>
            </w:pPr>
            <w:r>
              <w:rPr>
                <w:rFonts w:ascii="宋体" w:hAnsi="宋体" w:eastAsia="宋体"/>
                <w:b w:val="0"/>
                <w:sz w:val="18"/>
              </w:rPr>
              <w:t>474.90</w:t>
            </w:r>
          </w:p>
        </w:tc>
        <w:tc>
          <w:tcPr>
            <w:tcW w:type="dxa" w:w="864"/>
          </w:tcPr>
          <w:p>
            <w:pPr>
              <w:jc w:val="right"/>
            </w:pPr>
            <w:r>
              <w:rPr>
                <w:rFonts w:ascii="宋体" w:hAnsi="宋体" w:eastAsia="宋体"/>
                <w:b w:val="0"/>
                <w:sz w:val="18"/>
              </w:rPr>
              <w:t>-45.00</w:t>
            </w:r>
          </w:p>
        </w:tc>
        <w:tc>
          <w:tcPr>
            <w:tcW w:type="dxa" w:w="864"/>
          </w:tcPr>
          <w:p>
            <w:pPr>
              <w:jc w:val="right"/>
            </w:pPr>
            <w:r>
              <w:rPr>
                <w:rFonts w:ascii="宋体" w:hAnsi="宋体" w:eastAsia="宋体"/>
                <w:b w:val="0"/>
                <w:sz w:val="18"/>
              </w:rPr>
              <w:t>-8.7%</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五、净利润</w:t>
            </w:r>
          </w:p>
        </w:tc>
        <w:tc>
          <w:tcPr>
            <w:tcW w:type="dxa" w:w="864"/>
          </w:tcPr>
          <w:p>
            <w:pPr>
              <w:jc w:val="right"/>
            </w:pPr>
            <w:r>
              <w:rPr>
                <w:rFonts w:ascii="宋体" w:hAnsi="宋体" w:eastAsia="宋体"/>
                <w:b w:val="0"/>
                <w:sz w:val="18"/>
              </w:rPr>
              <w:t>1,241.00</w:t>
            </w:r>
          </w:p>
        </w:tc>
        <w:tc>
          <w:tcPr>
            <w:tcW w:type="dxa" w:w="864"/>
          </w:tcPr>
          <w:p>
            <w:pPr>
              <w:jc w:val="right"/>
            </w:pPr>
            <w:r>
              <w:rPr>
                <w:rFonts w:ascii="宋体" w:hAnsi="宋体" w:eastAsia="宋体"/>
                <w:b w:val="0"/>
                <w:sz w:val="18"/>
              </w:rPr>
              <w:t>1,380.00</w:t>
            </w:r>
          </w:p>
        </w:tc>
        <w:tc>
          <w:tcPr>
            <w:tcW w:type="dxa" w:w="864"/>
          </w:tcPr>
          <w:p>
            <w:pPr>
              <w:jc w:val="right"/>
            </w:pPr>
            <w:r>
              <w:rPr>
                <w:rFonts w:ascii="宋体" w:hAnsi="宋体" w:eastAsia="宋体"/>
                <w:b w:val="0"/>
                <w:sz w:val="18"/>
              </w:rPr>
              <w:t>139.00</w:t>
            </w:r>
          </w:p>
        </w:tc>
        <w:tc>
          <w:tcPr>
            <w:tcW w:type="dxa" w:w="864"/>
          </w:tcPr>
          <w:p>
            <w:pPr>
              <w:jc w:val="right"/>
            </w:pPr>
            <w:r>
              <w:rPr>
                <w:rFonts w:ascii="宋体" w:hAnsi="宋体" w:eastAsia="宋体"/>
                <w:b w:val="0"/>
                <w:sz w:val="18"/>
              </w:rPr>
              <w:t>+11.2%</w:t>
            </w:r>
          </w:p>
        </w:tc>
        <w:tc>
          <w:tcPr>
            <w:tcW w:type="dxa" w:w="864"/>
          </w:tcPr>
          <w:p>
            <w:pPr>
              <w:jc w:val="right"/>
            </w:pPr>
            <w:r>
              <w:rPr>
                <w:rFonts w:ascii="宋体" w:hAnsi="宋体" w:eastAsia="宋体"/>
                <w:b w:val="0"/>
                <w:sz w:val="18"/>
              </w:rPr>
              <w:t>1,221.00</w:t>
            </w:r>
          </w:p>
        </w:tc>
        <w:tc>
          <w:tcPr>
            <w:tcW w:type="dxa" w:w="864"/>
          </w:tcPr>
          <w:p>
            <w:pPr>
              <w:jc w:val="right"/>
            </w:pPr>
            <w:r>
              <w:rPr>
                <w:rFonts w:ascii="宋体" w:hAnsi="宋体" w:eastAsia="宋体"/>
                <w:b w:val="0"/>
                <w:sz w:val="18"/>
              </w:rPr>
              <w:t>-159.00</w:t>
            </w:r>
          </w:p>
        </w:tc>
        <w:tc>
          <w:tcPr>
            <w:tcW w:type="dxa" w:w="864"/>
          </w:tcPr>
          <w:p>
            <w:pPr>
              <w:jc w:val="right"/>
            </w:pPr>
            <w:r>
              <w:rPr>
                <w:rFonts w:ascii="宋体" w:hAnsi="宋体" w:eastAsia="宋体"/>
                <w:b w:val="0"/>
                <w:sz w:val="18"/>
              </w:rPr>
              <w:t>-11.5%</w:t>
            </w:r>
          </w:p>
        </w:tc>
        <w:tc>
          <w:tcPr>
            <w:tcW w:type="dxa" w:w="864"/>
          </w:tcPr>
          <w:p>
            <w:pPr>
              <w:jc w:val="right"/>
            </w:pPr>
            <w:r>
              <w:rPr>
                <w:rFonts w:ascii="宋体" w:hAnsi="宋体" w:eastAsia="宋体"/>
                <w:b w:val="0"/>
                <w:sz w:val="18"/>
              </w:rPr>
              <w:t>391.80</w:t>
            </w:r>
          </w:p>
        </w:tc>
        <w:tc>
          <w:tcPr>
            <w:tcW w:type="dxa" w:w="864"/>
          </w:tcPr>
          <w:p>
            <w:pPr>
              <w:jc w:val="right"/>
            </w:pPr>
            <w:r>
              <w:rPr>
                <w:rFonts w:ascii="宋体" w:hAnsi="宋体" w:eastAsia="宋体"/>
                <w:b w:val="0"/>
                <w:sz w:val="18"/>
              </w:rPr>
              <w:t>+7.0%</w:t>
            </w:r>
          </w:p>
        </w:tc>
      </w:tr>
      <w:tr>
        <w:tc>
          <w:tcPr>
            <w:tcW w:type="dxa" w:w="864"/>
          </w:tcPr>
          <w:p>
            <w:pPr>
              <w:jc w:val="right"/>
            </w:pPr>
            <w:r>
              <w:rPr>
                <w:rFonts w:ascii="宋体" w:hAnsi="宋体" w:eastAsia="宋体"/>
                <w:b w:val="0"/>
                <w:sz w:val="18"/>
              </w:rPr>
              <w:t>少数股东损益</w:t>
            </w:r>
          </w:p>
        </w:tc>
        <w:tc>
          <w:tcPr>
            <w:tcW w:type="dxa" w:w="864"/>
          </w:tcPr>
          <w:p>
            <w:pPr>
              <w:jc w:val="right"/>
            </w:pPr>
            <w:r>
              <w:rPr>
                <w:rFonts w:ascii="宋体" w:hAnsi="宋体" w:eastAsia="宋体"/>
                <w:b w:val="0"/>
                <w:sz w:val="18"/>
              </w:rPr>
              <w:t>2.47</w:t>
            </w:r>
          </w:p>
        </w:tc>
        <w:tc>
          <w:tcPr>
            <w:tcW w:type="dxa" w:w="864"/>
          </w:tcPr>
          <w:p>
            <w:pPr>
              <w:jc w:val="right"/>
            </w:pPr>
            <w:r>
              <w:rPr>
                <w:rFonts w:ascii="宋体" w:hAnsi="宋体" w:eastAsia="宋体"/>
                <w:b w:val="0"/>
                <w:sz w:val="18"/>
              </w:rPr>
              <w:t>0.46</w:t>
            </w:r>
          </w:p>
        </w:tc>
        <w:tc>
          <w:tcPr>
            <w:tcW w:type="dxa" w:w="864"/>
          </w:tcPr>
          <w:p>
            <w:pPr>
              <w:jc w:val="right"/>
            </w:pPr>
            <w:r>
              <w:rPr>
                <w:rFonts w:ascii="宋体" w:hAnsi="宋体" w:eastAsia="宋体"/>
                <w:b w:val="0"/>
                <w:sz w:val="18"/>
              </w:rPr>
              <w:t>-2.01</w:t>
            </w:r>
          </w:p>
        </w:tc>
        <w:tc>
          <w:tcPr>
            <w:tcW w:type="dxa" w:w="864"/>
          </w:tcPr>
          <w:p>
            <w:pPr>
              <w:jc w:val="right"/>
            </w:pPr>
            <w:r>
              <w:rPr>
                <w:rFonts w:ascii="宋体" w:hAnsi="宋体" w:eastAsia="宋体"/>
                <w:b w:val="0"/>
                <w:sz w:val="18"/>
              </w:rPr>
              <w:t>-81.4%</w:t>
            </w:r>
          </w:p>
        </w:tc>
        <w:tc>
          <w:tcPr>
            <w:tcW w:type="dxa" w:w="864"/>
          </w:tcPr>
          <w:p>
            <w:pPr>
              <w:jc w:val="right"/>
            </w:pPr>
            <w:r>
              <w:rPr>
                <w:rFonts w:ascii="宋体" w:hAnsi="宋体" w:eastAsia="宋体"/>
                <w:b w:val="0"/>
                <w:sz w:val="18"/>
              </w:rPr>
              <w:t>0.66</w:t>
            </w:r>
          </w:p>
        </w:tc>
        <w:tc>
          <w:tcPr>
            <w:tcW w:type="dxa" w:w="864"/>
          </w:tcPr>
          <w:p>
            <w:pPr>
              <w:jc w:val="right"/>
            </w:pPr>
            <w:r>
              <w:rPr>
                <w:rFonts w:ascii="宋体" w:hAnsi="宋体" w:eastAsia="宋体"/>
                <w:b w:val="0"/>
                <w:sz w:val="18"/>
              </w:rPr>
              <w:t>0.20</w:t>
            </w:r>
          </w:p>
        </w:tc>
        <w:tc>
          <w:tcPr>
            <w:tcW w:type="dxa" w:w="864"/>
          </w:tcPr>
          <w:p>
            <w:pPr>
              <w:jc w:val="right"/>
            </w:pPr>
            <w:r>
              <w:rPr>
                <w:rFonts w:ascii="宋体" w:hAnsi="宋体" w:eastAsia="宋体"/>
                <w:b w:val="0"/>
                <w:sz w:val="18"/>
              </w:rPr>
              <w:t>+43.5%</w:t>
            </w:r>
          </w:p>
        </w:tc>
        <w:tc>
          <w:tcPr>
            <w:tcW w:type="dxa" w:w="864"/>
          </w:tcPr>
          <w:p>
            <w:pPr>
              <w:jc w:val="right"/>
            </w:pPr>
            <w:r>
              <w:rPr>
                <w:rFonts w:ascii="宋体" w:hAnsi="宋体" w:eastAsia="宋体"/>
                <w:b w:val="0"/>
                <w:sz w:val="18"/>
              </w:rPr>
              <w:t>—</w:t>
            </w:r>
          </w:p>
        </w:tc>
        <w:tc>
          <w:tcPr>
            <w:tcW w:type="dxa" w:w="864"/>
          </w:tcPr>
          <w:p>
            <w:pPr>
              <w:jc w:val="right"/>
            </w:pPr>
            <w:r>
              <w:rPr>
                <w:rFonts w:ascii="宋体" w:hAnsi="宋体" w:eastAsia="宋体"/>
                <w:b w:val="0"/>
                <w:sz w:val="18"/>
              </w:rPr>
              <w:t>—</w:t>
            </w:r>
          </w:p>
        </w:tc>
      </w:tr>
      <w:tr>
        <w:tc>
          <w:tcPr>
            <w:tcW w:type="dxa" w:w="864"/>
          </w:tcPr>
          <w:p>
            <w:pPr>
              <w:jc w:val="right"/>
            </w:pPr>
            <w:r>
              <w:rPr>
                <w:rFonts w:ascii="宋体" w:hAnsi="宋体" w:eastAsia="宋体"/>
                <w:b w:val="0"/>
                <w:sz w:val="18"/>
              </w:rPr>
              <w:t>六、归母净利润</w:t>
            </w:r>
          </w:p>
        </w:tc>
        <w:tc>
          <w:tcPr>
            <w:tcW w:type="dxa" w:w="864"/>
          </w:tcPr>
          <w:p>
            <w:pPr>
              <w:jc w:val="right"/>
            </w:pPr>
            <w:r>
              <w:rPr>
                <w:rFonts w:ascii="宋体" w:hAnsi="宋体" w:eastAsia="宋体"/>
                <w:b w:val="0"/>
                <w:sz w:val="18"/>
              </w:rPr>
              <w:t>1,238.00</w:t>
            </w:r>
          </w:p>
        </w:tc>
        <w:tc>
          <w:tcPr>
            <w:tcW w:type="dxa" w:w="864"/>
          </w:tcPr>
          <w:p>
            <w:pPr>
              <w:jc w:val="right"/>
            </w:pPr>
            <w:r>
              <w:rPr>
                <w:rFonts w:ascii="宋体" w:hAnsi="宋体" w:eastAsia="宋体"/>
                <w:b w:val="0"/>
                <w:sz w:val="18"/>
              </w:rPr>
              <w:t>1,379.00</w:t>
            </w:r>
          </w:p>
        </w:tc>
        <w:tc>
          <w:tcPr>
            <w:tcW w:type="dxa" w:w="864"/>
          </w:tcPr>
          <w:p>
            <w:pPr>
              <w:jc w:val="right"/>
            </w:pPr>
            <w:r>
              <w:rPr>
                <w:rFonts w:ascii="宋体" w:hAnsi="宋体" w:eastAsia="宋体"/>
                <w:b w:val="0"/>
                <w:sz w:val="18"/>
              </w:rPr>
              <w:t>141.00</w:t>
            </w:r>
          </w:p>
        </w:tc>
        <w:tc>
          <w:tcPr>
            <w:tcW w:type="dxa" w:w="864"/>
          </w:tcPr>
          <w:p>
            <w:pPr>
              <w:jc w:val="right"/>
            </w:pPr>
            <w:r>
              <w:rPr>
                <w:rFonts w:ascii="宋体" w:hAnsi="宋体" w:eastAsia="宋体"/>
                <w:b w:val="0"/>
                <w:sz w:val="18"/>
              </w:rPr>
              <w:t>+11.4%</w:t>
            </w:r>
          </w:p>
        </w:tc>
        <w:tc>
          <w:tcPr>
            <w:tcW w:type="dxa" w:w="864"/>
          </w:tcPr>
          <w:p>
            <w:pPr>
              <w:jc w:val="right"/>
            </w:pPr>
            <w:r>
              <w:rPr>
                <w:rFonts w:ascii="宋体" w:hAnsi="宋体" w:eastAsia="宋体"/>
                <w:b w:val="0"/>
                <w:sz w:val="18"/>
              </w:rPr>
              <w:t>1,221.00</w:t>
            </w:r>
          </w:p>
        </w:tc>
        <w:tc>
          <w:tcPr>
            <w:tcW w:type="dxa" w:w="864"/>
          </w:tcPr>
          <w:p>
            <w:pPr>
              <w:jc w:val="right"/>
            </w:pPr>
            <w:r>
              <w:rPr>
                <w:rFonts w:ascii="宋体" w:hAnsi="宋体" w:eastAsia="宋体"/>
                <w:b w:val="0"/>
                <w:sz w:val="18"/>
              </w:rPr>
              <w:t>-158.00</w:t>
            </w:r>
          </w:p>
        </w:tc>
        <w:tc>
          <w:tcPr>
            <w:tcW w:type="dxa" w:w="864"/>
          </w:tcPr>
          <w:p>
            <w:pPr>
              <w:jc w:val="right"/>
            </w:pPr>
            <w:r>
              <w:rPr>
                <w:rFonts w:ascii="宋体" w:hAnsi="宋体" w:eastAsia="宋体"/>
                <w:b w:val="0"/>
                <w:sz w:val="18"/>
              </w:rPr>
              <w:t>-11.5%</w:t>
            </w:r>
          </w:p>
        </w:tc>
        <w:tc>
          <w:tcPr>
            <w:tcW w:type="dxa" w:w="864"/>
          </w:tcPr>
          <w:p>
            <w:pPr>
              <w:jc w:val="right"/>
            </w:pPr>
            <w:r>
              <w:rPr>
                <w:rFonts w:ascii="宋体" w:hAnsi="宋体" w:eastAsia="宋体"/>
                <w:b w:val="0"/>
                <w:sz w:val="18"/>
              </w:rPr>
              <w:t>391.40</w:t>
            </w:r>
          </w:p>
        </w:tc>
        <w:tc>
          <w:tcPr>
            <w:tcW w:type="dxa" w:w="864"/>
          </w:tcPr>
          <w:p>
            <w:pPr>
              <w:jc w:val="right"/>
            </w:pPr>
            <w:r>
              <w:rPr>
                <w:rFonts w:ascii="宋体" w:hAnsi="宋体" w:eastAsia="宋体"/>
                <w:b w:val="0"/>
                <w:sz w:val="18"/>
              </w:rPr>
              <w:t>+7.1%</w:t>
            </w:r>
          </w:p>
        </w:tc>
      </w:tr>
      <w:tr>
        <w:tc>
          <w:tcPr>
            <w:tcW w:type="dxa" w:w="864"/>
          </w:tcPr>
          <w:p>
            <w:pPr>
              <w:jc w:val="right"/>
            </w:pPr>
            <w:r>
              <w:rPr>
                <w:rFonts w:ascii="宋体" w:hAnsi="宋体" w:eastAsia="宋体"/>
                <w:b w:val="0"/>
                <w:sz w:val="18"/>
              </w:rPr>
              <w:t>扣非归母净利润</w:t>
            </w:r>
          </w:p>
        </w:tc>
        <w:tc>
          <w:tcPr>
            <w:tcW w:type="dxa" w:w="864"/>
          </w:tcPr>
          <w:p>
            <w:pPr>
              <w:jc w:val="right"/>
            </w:pPr>
            <w:r>
              <w:rPr>
                <w:rFonts w:ascii="宋体" w:hAnsi="宋体" w:eastAsia="宋体"/>
                <w:b w:val="0"/>
                <w:sz w:val="18"/>
              </w:rPr>
              <w:t>1,252.00</w:t>
            </w:r>
          </w:p>
        </w:tc>
        <w:tc>
          <w:tcPr>
            <w:tcW w:type="dxa" w:w="864"/>
          </w:tcPr>
          <w:p>
            <w:pPr>
              <w:jc w:val="right"/>
            </w:pPr>
            <w:r>
              <w:rPr>
                <w:rFonts w:ascii="宋体" w:hAnsi="宋体" w:eastAsia="宋体"/>
                <w:b w:val="0"/>
                <w:sz w:val="18"/>
              </w:rPr>
              <w:t>1,334.00</w:t>
            </w:r>
          </w:p>
        </w:tc>
        <w:tc>
          <w:tcPr>
            <w:tcW w:type="dxa" w:w="864"/>
          </w:tcPr>
          <w:p>
            <w:pPr>
              <w:jc w:val="right"/>
            </w:pPr>
            <w:r>
              <w:rPr>
                <w:rFonts w:ascii="宋体" w:hAnsi="宋体" w:eastAsia="宋体"/>
                <w:b w:val="0"/>
                <w:sz w:val="18"/>
              </w:rPr>
              <w:t>82.00</w:t>
            </w:r>
          </w:p>
        </w:tc>
        <w:tc>
          <w:tcPr>
            <w:tcW w:type="dxa" w:w="864"/>
          </w:tcPr>
          <w:p>
            <w:pPr>
              <w:jc w:val="right"/>
            </w:pPr>
            <w:r>
              <w:rPr>
                <w:rFonts w:ascii="宋体" w:hAnsi="宋体" w:eastAsia="宋体"/>
                <w:b w:val="0"/>
                <w:sz w:val="18"/>
              </w:rPr>
              <w:t>+6.5%</w:t>
            </w:r>
          </w:p>
        </w:tc>
        <w:tc>
          <w:tcPr>
            <w:tcW w:type="dxa" w:w="864"/>
          </w:tcPr>
          <w:p>
            <w:pPr>
              <w:jc w:val="right"/>
            </w:pPr>
            <w:r>
              <w:rPr>
                <w:rFonts w:ascii="宋体" w:hAnsi="宋体" w:eastAsia="宋体"/>
                <w:b w:val="0"/>
                <w:sz w:val="18"/>
              </w:rPr>
              <w:t>1,204.00</w:t>
            </w:r>
          </w:p>
        </w:tc>
        <w:tc>
          <w:tcPr>
            <w:tcW w:type="dxa" w:w="864"/>
          </w:tcPr>
          <w:p>
            <w:pPr>
              <w:jc w:val="right"/>
            </w:pPr>
            <w:r>
              <w:rPr>
                <w:rFonts w:ascii="宋体" w:hAnsi="宋体" w:eastAsia="宋体"/>
                <w:b w:val="0"/>
                <w:sz w:val="18"/>
              </w:rPr>
              <w:t>-130.00</w:t>
            </w:r>
          </w:p>
        </w:tc>
        <w:tc>
          <w:tcPr>
            <w:tcW w:type="dxa" w:w="864"/>
          </w:tcPr>
          <w:p>
            <w:pPr>
              <w:jc w:val="right"/>
            </w:pPr>
            <w:r>
              <w:rPr>
                <w:rFonts w:ascii="宋体" w:hAnsi="宋体" w:eastAsia="宋体"/>
                <w:b w:val="0"/>
                <w:sz w:val="18"/>
              </w:rPr>
              <w:t>-9.7%</w:t>
            </w:r>
          </w:p>
        </w:tc>
        <w:tc>
          <w:tcPr>
            <w:tcW w:type="dxa" w:w="864"/>
          </w:tcPr>
          <w:p>
            <w:pPr>
              <w:jc w:val="right"/>
            </w:pPr>
            <w:r>
              <w:rPr>
                <w:rFonts w:ascii="宋体" w:hAnsi="宋体" w:eastAsia="宋体"/>
                <w:b w:val="0"/>
                <w:sz w:val="18"/>
              </w:rPr>
              <w:t>390.38</w:t>
            </w:r>
          </w:p>
        </w:tc>
        <w:tc>
          <w:tcPr>
            <w:tcW w:type="dxa" w:w="864"/>
          </w:tcPr>
          <w:p>
            <w:pPr>
              <w:jc w:val="right"/>
            </w:pPr>
            <w:r>
              <w:rPr>
                <w:rFonts w:ascii="宋体" w:hAnsi="宋体" w:eastAsia="宋体"/>
                <w:b w:val="0"/>
                <w:sz w:val="18"/>
              </w:rPr>
              <w:t>+5.5%</w:t>
            </w:r>
          </w:p>
        </w:tc>
      </w:tr>
      <w:tr>
        <w:tc>
          <w:tcPr>
            <w:tcW w:type="dxa" w:w="864"/>
          </w:tcPr>
          <w:p>
            <w:pPr>
              <w:jc w:val="right"/>
            </w:pPr>
            <w:r>
              <w:rPr>
                <w:rFonts w:ascii="宋体" w:hAnsi="宋体" w:eastAsia="宋体"/>
                <w:b w:val="0"/>
                <w:sz w:val="18"/>
              </w:rPr>
              <w:t>基本每股收益（元）</w:t>
            </w:r>
          </w:p>
        </w:tc>
        <w:tc>
          <w:tcPr>
            <w:tcW w:type="dxa" w:w="864"/>
          </w:tcPr>
          <w:p>
            <w:pPr>
              <w:jc w:val="right"/>
            </w:pPr>
            <w:r>
              <w:rPr>
                <w:rFonts w:ascii="宋体" w:hAnsi="宋体" w:eastAsia="宋体"/>
                <w:b w:val="0"/>
                <w:sz w:val="18"/>
              </w:rPr>
              <w:t>2.60</w:t>
            </w:r>
          </w:p>
        </w:tc>
        <w:tc>
          <w:tcPr>
            <w:tcW w:type="dxa" w:w="864"/>
          </w:tcPr>
          <w:p>
            <w:pPr>
              <w:jc w:val="right"/>
            </w:pPr>
            <w:r>
              <w:rPr>
                <w:rFonts w:ascii="宋体" w:hAnsi="宋体" w:eastAsia="宋体"/>
                <w:b w:val="0"/>
                <w:sz w:val="18"/>
              </w:rPr>
              <w:t>2.90</w:t>
            </w:r>
          </w:p>
        </w:tc>
        <w:tc>
          <w:tcPr>
            <w:tcW w:type="dxa" w:w="864"/>
          </w:tcPr>
          <w:p>
            <w:pPr>
              <w:jc w:val="right"/>
            </w:pPr>
            <w:r>
              <w:rPr>
                <w:rFonts w:ascii="宋体" w:hAnsi="宋体" w:eastAsia="宋体"/>
                <w:b w:val="0"/>
                <w:sz w:val="18"/>
              </w:rPr>
              <w:t>0.30</w:t>
            </w:r>
          </w:p>
        </w:tc>
        <w:tc>
          <w:tcPr>
            <w:tcW w:type="dxa" w:w="864"/>
          </w:tcPr>
          <w:p>
            <w:pPr>
              <w:jc w:val="right"/>
            </w:pPr>
            <w:r>
              <w:rPr>
                <w:rFonts w:ascii="宋体" w:hAnsi="宋体" w:eastAsia="宋体"/>
                <w:b w:val="0"/>
                <w:sz w:val="18"/>
              </w:rPr>
              <w:t>+11.5%</w:t>
            </w:r>
          </w:p>
        </w:tc>
        <w:tc>
          <w:tcPr>
            <w:tcW w:type="dxa" w:w="864"/>
          </w:tcPr>
          <w:p>
            <w:pPr>
              <w:jc w:val="right"/>
            </w:pPr>
            <w:r>
              <w:rPr>
                <w:rFonts w:ascii="宋体" w:hAnsi="宋体" w:eastAsia="宋体"/>
                <w:b w:val="0"/>
                <w:sz w:val="18"/>
              </w:rPr>
              <w:t>2.57</w:t>
            </w:r>
          </w:p>
        </w:tc>
        <w:tc>
          <w:tcPr>
            <w:tcW w:type="dxa" w:w="864"/>
          </w:tcPr>
          <w:p>
            <w:pPr>
              <w:jc w:val="right"/>
            </w:pPr>
            <w:r>
              <w:rPr>
                <w:rFonts w:ascii="宋体" w:hAnsi="宋体" w:eastAsia="宋体"/>
                <w:b w:val="0"/>
                <w:sz w:val="18"/>
              </w:rPr>
              <w:t>-0.33</w:t>
            </w:r>
          </w:p>
        </w:tc>
        <w:tc>
          <w:tcPr>
            <w:tcW w:type="dxa" w:w="864"/>
          </w:tcPr>
          <w:p>
            <w:pPr>
              <w:jc w:val="right"/>
            </w:pPr>
            <w:r>
              <w:rPr>
                <w:rFonts w:ascii="宋体" w:hAnsi="宋体" w:eastAsia="宋体"/>
                <w:b w:val="0"/>
                <w:sz w:val="18"/>
              </w:rPr>
              <w:t>-11.4%</w:t>
            </w:r>
          </w:p>
        </w:tc>
        <w:tc>
          <w:tcPr>
            <w:tcW w:type="dxa" w:w="864"/>
          </w:tcPr>
          <w:p>
            <w:pPr>
              <w:jc w:val="right"/>
            </w:pPr>
            <w:r>
              <w:rPr>
                <w:rFonts w:ascii="宋体" w:hAnsi="宋体" w:eastAsia="宋体"/>
                <w:b w:val="0"/>
                <w:sz w:val="18"/>
              </w:rPr>
              <w:t>0.82</w:t>
            </w:r>
          </w:p>
        </w:tc>
        <w:tc>
          <w:tcPr>
            <w:tcW w:type="dxa" w:w="864"/>
          </w:tcPr>
          <w:p>
            <w:pPr>
              <w:jc w:val="right"/>
            </w:pPr>
            <w:r>
              <w:rPr>
                <w:rFonts w:ascii="宋体" w:hAnsi="宋体" w:eastAsia="宋体"/>
                <w:b w:val="0"/>
                <w:sz w:val="18"/>
              </w:rPr>
              <w:t>+6.5%</w:t>
            </w:r>
          </w:p>
        </w:tc>
      </w:tr>
    </w:tbl>
    <w:p/>
    <w:p>
      <w:pPr>
        <w:spacing w:line="360" w:lineRule="auto" w:after="120"/>
        <w:ind w:firstLine="480"/>
      </w:pPr>
      <w:r>
        <w:rPr>
          <w:rFonts w:ascii="宋体" w:hAnsi="宋体" w:eastAsia="宋体"/>
          <w:b w:val="0"/>
          <w:sz w:val="24"/>
        </w:rPr>
        <w:t>表注：2026Q1为单季度数据，同比变化为2026Q1相较2025Q1的增长率。营业总成本为A股年报口径汇总项；营业成本、税金及附加、三费等明细来自公司合并报表（调整）口径，二者在统计范围和列报方式上存在差异，不可直接加总验证。单位：亿元（每股收益为元）。</w:t>
      </w:r>
    </w:p>
    <w:p>
      <w:pPr>
        <w:pStyle w:val="Heading2"/>
        <w:spacing w:before="240" w:after="120" w:line="360" w:lineRule="auto"/>
      </w:pPr>
      <w:r>
        <w:rPr>
          <w:rFonts w:ascii="黑体" w:hAnsi="黑体" w:eastAsia="黑体"/>
          <w:b/>
          <w:sz w:val="28"/>
        </w:rPr>
        <w:t>3.1 收入与成本分析</w:t>
      </w:r>
    </w:p>
    <w:p>
      <w:pPr>
        <w:spacing w:line="360" w:lineRule="auto" w:after="120"/>
        <w:ind w:firstLine="480"/>
      </w:pPr>
      <w:r>
        <w:rPr>
          <w:rFonts w:ascii="宋体" w:hAnsi="宋体" w:eastAsia="宋体"/>
          <w:b w:val="0"/>
          <w:sz w:val="24"/>
        </w:rPr>
        <w:t>① 营业总收入：2023年4,166亿元、2024年4,205亿元（+0.9%）、2025年3,982亿元（-5.3%）、2026Q1 1,161亿元（同比+8.6%）。2025年营收下降主要受国际油价同比下跌14.6%拖累，尽管油气产量同比增长7.0%，但价格下滑导致收入缩水。2026Q1营收回升受益于油价反弹（实现油价75.92美元/桶，同比+4.5%）和产量增长（油气净产量205.1百万桶油当量，同比+8.6%）。分产品结构：石油液体2025年产量6.0亿桶（+5.8%），天然气1.04万亿立方英尺（+11.6%）；天然气增长快于石油，收入结构持续优化。</w:t>
      </w:r>
    </w:p>
    <w:p>
      <w:pPr>
        <w:spacing w:line="360" w:lineRule="auto" w:after="120"/>
        <w:ind w:firstLine="480"/>
      </w:pPr>
      <w:r>
        <w:rPr>
          <w:rFonts w:ascii="宋体" w:hAnsi="宋体" w:eastAsia="宋体"/>
          <w:b w:val="0"/>
          <w:sz w:val="24"/>
        </w:rPr>
        <w:t>② 营业成本：2023年1,088亿元、2024年883亿元（-18.8%）、2025年879亿元（-0.4%）、2026Q1 641亿元（同比+32.4%）。2024年成本大幅下降主要因油价下跌带动石油特别收益金、资源税等变动成本下降，以及成本管控措施见效。2025年成本基本持平，而同期油价下跌，显示公司成本控制能力强。2026Q1成本上升与产量增加和税金上涨有关。2025年毛利率51.47%，较2024年53.63%下降2.16个百分点，主要因油价跌幅大于成本降幅。2026Q1毛利率51.17%，环比回升。</w:t>
      </w:r>
    </w:p>
    <w:p>
      <w:pPr>
        <w:spacing w:line="360" w:lineRule="auto" w:after="120"/>
        <w:ind w:firstLine="480"/>
      </w:pPr>
      <w:r>
        <w:rPr>
          <w:rFonts w:ascii="宋体" w:hAnsi="宋体" w:eastAsia="宋体"/>
          <w:b w:val="0"/>
          <w:sz w:val="24"/>
        </w:rPr>
        <w:t>③ 量价拆解：2025年营收下滑5.3%中，价格贡献约-12.3%（油价下跌），销量贡献约+7.0%（产量增长）。2026Q1营收增长8.6%中，销量贡献约+8.6%，价格贡献约+0%（油价同比略涨）。可见公司增长主要由产量驱动，价格弹性仍然存在。2026年全年规划产量7.8-8.0亿桶油当量，若油价中枢维持75美元以上，全年营收有望实现正增长。</w:t>
      </w:r>
    </w:p>
    <w:p>
      <w:pPr>
        <w:jc w:val="center"/>
      </w:pPr>
      <w:r>
        <w:drawing>
          <wp:inline xmlns:a="http://schemas.openxmlformats.org/drawingml/2006/main" xmlns:pic="http://schemas.openxmlformats.org/drawingml/2006/picture">
            <wp:extent cx="5029200" cy="2993571"/>
            <wp:docPr id="6" name="Picture 6"/>
            <wp:cNvGraphicFramePr>
              <a:graphicFrameLocks noChangeAspect="1"/>
            </wp:cNvGraphicFramePr>
            <a:graphic>
              <a:graphicData uri="http://schemas.openxmlformats.org/drawingml/2006/picture">
                <pic:pic>
                  <pic:nvPicPr>
                    <pic:cNvPr id="0" name="chart_3_2_gross_margin.png"/>
                    <pic:cNvPicPr/>
                  </pic:nvPicPr>
                  <pic:blipFill>
                    <a:blip r:embed="rId14"/>
                    <a:stretch>
                      <a:fillRect/>
                    </a:stretch>
                  </pic:blipFill>
                  <pic:spPr>
                    <a:xfrm>
                      <a:off x="0" y="0"/>
                      <a:ext cx="5029200" cy="2993571"/>
                    </a:xfrm>
                    <a:prstGeom prst="rect"/>
                  </pic:spPr>
                </pic:pic>
              </a:graphicData>
            </a:graphic>
          </wp:inline>
        </w:drawing>
      </w:r>
    </w:p>
    <w:p/>
    <w:p>
      <w:pPr>
        <w:pStyle w:val="Heading2"/>
        <w:spacing w:before="240" w:after="120" w:line="360" w:lineRule="auto"/>
      </w:pPr>
      <w:r>
        <w:rPr>
          <w:rFonts w:ascii="黑体" w:hAnsi="黑体" w:eastAsia="黑体"/>
          <w:b/>
          <w:sz w:val="28"/>
        </w:rPr>
        <w:t>3.2 期间费用分析</w:t>
      </w:r>
    </w:p>
    <w:p>
      <w:pPr>
        <w:spacing w:line="360" w:lineRule="auto" w:after="120"/>
        <w:ind w:firstLine="480"/>
      </w:pPr>
      <w:r>
        <w:rPr>
          <w:rFonts w:ascii="宋体" w:hAnsi="宋体" w:eastAsia="宋体"/>
          <w:b w:val="0"/>
          <w:sz w:val="24"/>
        </w:rPr>
        <w:t>① 销售费用：2023年109.5亿元、2024年111.4亿元（+1.7%）、2025年120.4亿元（+8.1%）、2026Q1 1.24亿元（同比-86.8%）。销售费用绝对额增长与油气销量增加有关，但费用率（销售费用/营业收入）从2023年2.7%升至2025年3.0%（因收入下降）。2026Q1销售费用大幅下降可能因季度间费用归集差异，需关注全年数据。</w:t>
      </w:r>
    </w:p>
    <w:p>
      <w:pPr>
        <w:spacing w:line="360" w:lineRule="auto" w:after="120"/>
        <w:ind w:firstLine="480"/>
      </w:pPr>
      <w:r>
        <w:rPr>
          <w:rFonts w:ascii="宋体" w:hAnsi="宋体" w:eastAsia="宋体"/>
          <w:b w:val="0"/>
          <w:sz w:val="24"/>
        </w:rPr>
        <w:t>② 管理费用：2024年50.3亿元、2025年54.0亿元（+7.4%）、2026Q1 16.9亿元。管理费用增长与人员扩张、薪酬增加、数字化投入有关。但管理费用率较低，反映公司组织效率高。</w:t>
      </w:r>
    </w:p>
    <w:p>
      <w:pPr>
        <w:spacing w:line="360" w:lineRule="auto" w:after="120"/>
        <w:ind w:firstLine="480"/>
      </w:pPr>
      <w:r>
        <w:rPr>
          <w:rFonts w:ascii="宋体" w:hAnsi="宋体" w:eastAsia="宋体"/>
          <w:b w:val="0"/>
          <w:sz w:val="24"/>
        </w:rPr>
        <w:t>③ 研发费用：2024年12.2亿元、2025年11.1亿元（-8.9%）、2026Q1 3.06亿元。研发费用主要用于深水油气勘探、提高采收率、数字化油田等。研发费用率约0.3%，处于行业较低水平，这与油气上游企业研发资本化比例较高、部分研发投入计入油气资产成本有关。</w:t>
      </w:r>
    </w:p>
    <w:p>
      <w:pPr>
        <w:spacing w:line="360" w:lineRule="auto" w:after="120"/>
        <w:ind w:firstLine="480"/>
      </w:pPr>
      <w:r>
        <w:rPr>
          <w:rFonts w:ascii="宋体" w:hAnsi="宋体" w:eastAsia="宋体"/>
          <w:b w:val="0"/>
          <w:sz w:val="24"/>
        </w:rPr>
        <w:t>④ 财务费用：2023年-53.5亿元（净收入）、2024年-61.0亿元、2025年-65.1亿元、2026Q1 -1.0亿元。财务费用持续为负，反映公司利息收入（2025年50.6亿元）高于利息支出，货币资金充裕带来净利息收入。2026Q1财务费用由负转正或波动，主要因季度间利息收入和汇兑损益波动。公司海外业务较大，汇率波动（人民币升值）对财务费用有一定影响。</w:t>
      </w:r>
    </w:p>
    <w:p>
      <w:pPr>
        <w:spacing w:line="360" w:lineRule="auto" w:after="120"/>
        <w:ind w:firstLine="480"/>
      </w:pPr>
      <w:r>
        <w:rPr>
          <w:rFonts w:ascii="宋体" w:hAnsi="宋体" w:eastAsia="宋体"/>
          <w:b w:val="0"/>
          <w:sz w:val="24"/>
        </w:rPr>
        <w:t>⑤ 三费合计费用率趋势：2025年销售+管理+研发费用合计约185.5亿元，三费率约4.8%，较2024年约4.2%有所上升，主要因收入下降。经营杠杆方面，2025年营收下降而费用刚性上升，导致费用率被动提升。2026年若油价回升带动收入增长，费用率有望回落。</w:t>
      </w:r>
    </w:p>
    <w:p>
      <w:pPr>
        <w:jc w:val="center"/>
      </w:pPr>
      <w:r>
        <w:drawing>
          <wp:inline xmlns:a="http://schemas.openxmlformats.org/drawingml/2006/main" xmlns:pic="http://schemas.openxmlformats.org/drawingml/2006/picture">
            <wp:extent cx="5029200" cy="3279913"/>
            <wp:docPr id="7" name="Picture 7"/>
            <wp:cNvGraphicFramePr>
              <a:graphicFrameLocks noChangeAspect="1"/>
            </wp:cNvGraphicFramePr>
            <a:graphic>
              <a:graphicData uri="http://schemas.openxmlformats.org/drawingml/2006/picture">
                <pic:pic>
                  <pic:nvPicPr>
                    <pic:cNvPr id="0" name="chart_3_3_expense_ratio.png"/>
                    <pic:cNvPicPr/>
                  </pic:nvPicPr>
                  <pic:blipFill>
                    <a:blip r:embed="rId15"/>
                    <a:stretch>
                      <a:fillRect/>
                    </a:stretch>
                  </pic:blipFill>
                  <pic:spPr>
                    <a:xfrm>
                      <a:off x="0" y="0"/>
                      <a:ext cx="5029200" cy="3279913"/>
                    </a:xfrm>
                    <a:prstGeom prst="rect"/>
                  </pic:spPr>
                </pic:pic>
              </a:graphicData>
            </a:graphic>
          </wp:inline>
        </w:drawing>
      </w:r>
    </w:p>
    <w:p/>
    <w:p>
      <w:pPr>
        <w:pStyle w:val="Heading2"/>
        <w:spacing w:before="240" w:after="120" w:line="360" w:lineRule="auto"/>
      </w:pPr>
      <w:r>
        <w:rPr>
          <w:rFonts w:ascii="黑体" w:hAnsi="黑体" w:eastAsia="黑体"/>
          <w:b/>
          <w:sz w:val="28"/>
        </w:rPr>
        <w:t>3.3 其他收益与投资收益</w:t>
      </w:r>
    </w:p>
    <w:p>
      <w:pPr>
        <w:spacing w:line="360" w:lineRule="auto" w:after="120"/>
        <w:ind w:firstLine="480"/>
      </w:pPr>
      <w:r>
        <w:rPr>
          <w:rFonts w:ascii="宋体" w:hAnsi="宋体" w:eastAsia="宋体"/>
          <w:b w:val="0"/>
          <w:sz w:val="24"/>
        </w:rPr>
        <w:t>① 其他收益：2024年15.96亿元、2025年-9.43亿元。其他收益主要为政府补助、增值税加计抵减等。2025年由正转负，可能因增值税加计抵减政策变化或部分补助冲回。其他收益占归母净利润比例很小（2024年1.2%，2025年-0.8%），不构成利润主要来源。</w:t>
      </w:r>
    </w:p>
    <w:p>
      <w:pPr>
        <w:spacing w:line="360" w:lineRule="auto" w:after="120"/>
        <w:ind w:firstLine="480"/>
      </w:pPr>
      <w:r>
        <w:rPr>
          <w:rFonts w:ascii="宋体" w:hAnsi="宋体" w:eastAsia="宋体"/>
          <w:b w:val="0"/>
          <w:sz w:val="24"/>
        </w:rPr>
        <w:t>② 投资收益：2024年7.57亿元、2025年5.82亿元（-23.1%）。主要来自联营合营企业收益（如部分海外项目）。2025年下降可能与部分参股项目收益下滑或汇率影响有关。投资收益占归母净利润比例约0.5%，影响有限。</w:t>
      </w:r>
    </w:p>
    <w:p>
      <w:pPr>
        <w:spacing w:line="360" w:lineRule="auto" w:after="120"/>
        <w:ind w:firstLine="480"/>
      </w:pPr>
      <w:r>
        <w:rPr>
          <w:rFonts w:ascii="宋体" w:hAnsi="宋体" w:eastAsia="宋体"/>
          <w:b w:val="0"/>
          <w:sz w:val="24"/>
        </w:rPr>
        <w:t>③ 公允价值变动收益：2024年9.8亿元、2025年5.15亿元（-47.5%）。主要来源于交易性金融资产和金融衍生品。2025年金融市场波动导致公允价值变动收益下降。该科目波动性大，持续性差，不应视为核心利润。</w:t>
      </w:r>
    </w:p>
    <w:p>
      <w:pPr>
        <w:pStyle w:val="Heading2"/>
        <w:spacing w:before="240" w:after="120" w:line="360" w:lineRule="auto"/>
      </w:pPr>
      <w:r>
        <w:rPr>
          <w:rFonts w:ascii="黑体" w:hAnsi="黑体" w:eastAsia="黑体"/>
          <w:b/>
          <w:sz w:val="28"/>
        </w:rPr>
        <w:t>3.4 减值损失分析</w:t>
      </w:r>
    </w:p>
    <w:p>
      <w:pPr>
        <w:spacing w:line="360" w:lineRule="auto" w:after="120"/>
        <w:ind w:firstLine="480"/>
      </w:pPr>
      <w:r>
        <w:rPr>
          <w:rFonts w:ascii="宋体" w:hAnsi="宋体" w:eastAsia="宋体"/>
          <w:b w:val="0"/>
          <w:sz w:val="24"/>
        </w:rPr>
        <w:t>① 资产减值损失：2023年35.97亿元、2024年80.76亿元（+124.5%）、2025年38.18亿元（-52.7%）。2024年资产减值大幅增加，主要因油价下跌导致部分油气资产可收回金额低于账面价值，计提存货跌价、固定资产/油气资产减值。2025年减值回落至38.2亿元，与油价企稳和资产优化有关。2025年资产减值损失占利润总额约2.3%，比例较低。需关注：若油价再次大幅下跌至60美元以下，2026-2027年可能再次面临减值压力。</w:t>
      </w:r>
    </w:p>
    <w:p>
      <w:pPr>
        <w:spacing w:line="360" w:lineRule="auto" w:after="120"/>
        <w:ind w:firstLine="480"/>
      </w:pPr>
      <w:r>
        <w:rPr>
          <w:rFonts w:ascii="宋体" w:hAnsi="宋体" w:eastAsia="宋体"/>
          <w:b w:val="0"/>
          <w:sz w:val="24"/>
        </w:rPr>
        <w:t>② 信用减值损失：金额较小，未单独披露。结合应收账款周转率较高、客户质量优良，信用风险可控。</w:t>
      </w:r>
    </w:p>
    <w:p>
      <w:pPr>
        <w:spacing w:line="360" w:lineRule="auto" w:after="120"/>
        <w:ind w:firstLine="480"/>
      </w:pPr>
      <w:r>
        <w:rPr>
          <w:rFonts w:ascii="宋体" w:hAnsi="宋体" w:eastAsia="宋体"/>
          <w:b w:val="0"/>
          <w:sz w:val="24"/>
        </w:rPr>
        <w:t>③ 整体减值占利润总额比：2023年约2.1%、2024年约4.2%、2025年约2.3%。比例处于合理区间，不存在大额减值操纵（大洗澡或隐藏利润）迹象。减值方法论上，公司采用单项与组合计提相结合，油气资产减值测试基于未来现金流量折现，对油价假设敏感。</w:t>
      </w:r>
    </w:p>
    <w:p>
      <w:pPr>
        <w:pStyle w:val="Heading2"/>
        <w:spacing w:before="240" w:after="120" w:line="360" w:lineRule="auto"/>
      </w:pPr>
      <w:r>
        <w:rPr>
          <w:rFonts w:ascii="黑体" w:hAnsi="黑体" w:eastAsia="黑体"/>
          <w:b/>
          <w:sz w:val="28"/>
        </w:rPr>
        <w:t>3.5 利润总额与所得税</w:t>
      </w:r>
    </w:p>
    <w:p>
      <w:pPr>
        <w:spacing w:line="360" w:lineRule="auto" w:after="120"/>
        <w:ind w:firstLine="480"/>
      </w:pPr>
      <w:r>
        <w:rPr>
          <w:rFonts w:ascii="宋体" w:hAnsi="宋体" w:eastAsia="宋体"/>
          <w:b w:val="0"/>
          <w:sz w:val="24"/>
        </w:rPr>
        <w:t>① 营业利润：2023年1,729亿元、2024年1,900亿元（+9.9%）、2025年1,696亿元（-10.7%）、2026Q1 523.5亿元（同比+4.7%）。2025年营业利润下滑与营收下降、费用率上升有关。2026Q1同比回升，显示油价反弹对利润的正面作用。</w:t>
      </w:r>
    </w:p>
    <w:p>
      <w:pPr>
        <w:spacing w:line="360" w:lineRule="auto" w:after="120"/>
        <w:ind w:firstLine="480"/>
      </w:pPr>
      <w:r>
        <w:rPr>
          <w:rFonts w:ascii="宋体" w:hAnsi="宋体" w:eastAsia="宋体"/>
          <w:b w:val="0"/>
          <w:sz w:val="24"/>
        </w:rPr>
        <w:t>② 营业外收支：营业外收入2024年97.5亿元、2025年88.8亿元；营业外支出2024年537.2亿元、2025年450.8亿元。营业外支出主要与油气田弃置、环境恢复、安全支出等长期拨备有关。净营业外支出较大，反映油气行业长期环境负债。2025年净营业外支出362亿元，较2024年减少约86亿元，对利润形成正向贡献。</w:t>
      </w:r>
    </w:p>
    <w:p>
      <w:pPr>
        <w:spacing w:line="360" w:lineRule="auto" w:after="120"/>
        <w:ind w:firstLine="480"/>
      </w:pPr>
      <w:r>
        <w:rPr>
          <w:rFonts w:ascii="宋体" w:hAnsi="宋体" w:eastAsia="宋体"/>
          <w:b w:val="0"/>
          <w:sz w:val="24"/>
        </w:rPr>
        <w:t>③ 所得税费用：2023年488.8亿元、2024年519.9亿元（+6.4%）、2025年474.9亿元（-8.7%）。有效税率约28.0%（2024年）和27.9%（2025年），高于法定25%，主要因石油特别收益金、资源税等不可抵扣费用，以及海外高税率地区利润贡献。公司享有的税收优惠主要包括：高新技术企业认定（部分子公司15%税率）、西部大开发优惠、研发费用加计扣除等。税收优惠政策整体稳定，对利润影响有限。</w:t>
      </w:r>
    </w:p>
    <w:p>
      <w:pPr>
        <w:spacing w:line="360" w:lineRule="auto" w:after="120"/>
        <w:ind w:firstLine="480"/>
      </w:pPr>
      <w:r>
        <w:rPr>
          <w:rFonts w:ascii="宋体" w:hAnsi="宋体" w:eastAsia="宋体"/>
          <w:b w:val="0"/>
          <w:sz w:val="24"/>
        </w:rPr>
        <w:t>④ 净利润与归母净利润：2023年净利润1,241亿元、2024年1,380亿元（+11.2%）、2025年1,221亿元（-11.5%）、2026Q1 391.8亿元（+7.1%）。归母净利润2023年1,238亿元、2024年1,379亿元、2025年1,221亿元、2026Q1 391.4亿元。少数股东损益占比极小，利润几乎全部由归母股东享有。</w:t>
      </w:r>
    </w:p>
    <w:p>
      <w:pPr>
        <w:pStyle w:val="Heading2"/>
        <w:spacing w:before="240" w:after="120" w:line="360" w:lineRule="auto"/>
      </w:pPr>
      <w:r>
        <w:rPr>
          <w:rFonts w:ascii="黑体" w:hAnsi="黑体" w:eastAsia="黑体"/>
          <w:b/>
          <w:sz w:val="28"/>
        </w:rPr>
        <w:t>3.6 扣非净利润与 EPS</w:t>
      </w:r>
    </w:p>
    <w:p>
      <w:pPr>
        <w:spacing w:line="360" w:lineRule="auto" w:after="120"/>
        <w:ind w:firstLine="480"/>
      </w:pPr>
      <w:r>
        <w:rPr>
          <w:rFonts w:ascii="宋体" w:hAnsi="宋体" w:eastAsia="宋体"/>
          <w:b w:val="0"/>
          <w:sz w:val="24"/>
        </w:rPr>
        <w:t>① 扣非归母净利润：2023年1,252亿元、2024年1,334亿元（+6.6%）、2025年1,204亿元（-9.8%）、2026Q1 390.4亿元（+5.4%）。扣非占比2025年约98.6%（1,204/1,221），显著高于85%的优良线，显示公司利润质量极高，非经常性损益影响极小。非经常性损益主要包含政府补助、资产处置、公允价值变动等。</w:t>
      </w:r>
    </w:p>
    <w:p>
      <w:pPr>
        <w:spacing w:line="360" w:lineRule="auto" w:after="120"/>
        <w:ind w:firstLine="480"/>
      </w:pPr>
      <w:r>
        <w:rPr>
          <w:rFonts w:ascii="宋体" w:hAnsi="宋体" w:eastAsia="宋体"/>
          <w:b w:val="0"/>
          <w:sz w:val="24"/>
        </w:rPr>
        <w:t>② 基本每股收益：2023年2.60元、2024年2.90元（+11.5%）、2025年2.57元（-11.4%）、2026Q1 0.82元（+6.5%）。股本保持751.8亿元（475.3亿股）稳定，EPS变动与归母净利润变动一致。2025年EPS下降主要因净利润下滑，而非股本稀释。</w:t>
      </w:r>
    </w:p>
    <w:p>
      <w:pPr>
        <w:jc w:val="center"/>
      </w:pPr>
      <w:r>
        <w:drawing>
          <wp:inline xmlns:a="http://schemas.openxmlformats.org/drawingml/2006/main" xmlns:pic="http://schemas.openxmlformats.org/drawingml/2006/picture">
            <wp:extent cx="5029200" cy="3228622"/>
            <wp:docPr id="8" name="Picture 8"/>
            <wp:cNvGraphicFramePr>
              <a:graphicFrameLocks noChangeAspect="1"/>
            </wp:cNvGraphicFramePr>
            <a:graphic>
              <a:graphicData uri="http://schemas.openxmlformats.org/drawingml/2006/picture">
                <pic:pic>
                  <pic:nvPicPr>
                    <pic:cNvPr id="0" name="chart_3_4_cash_profit.png"/>
                    <pic:cNvPicPr/>
                  </pic:nvPicPr>
                  <pic:blipFill>
                    <a:blip r:embed="rId16"/>
                    <a:stretch>
                      <a:fillRect/>
                    </a:stretch>
                  </pic:blipFill>
                  <pic:spPr>
                    <a:xfrm>
                      <a:off x="0" y="0"/>
                      <a:ext cx="5029200" cy="3228622"/>
                    </a:xfrm>
                    <a:prstGeom prst="rect"/>
                  </pic:spPr>
                </pic:pic>
              </a:graphicData>
            </a:graphic>
          </wp:inline>
        </w:drawing>
      </w:r>
    </w:p>
    <w:p/>
    <w:p>
      <w:pPr>
        <w:jc w:val="center"/>
      </w:pPr>
      <w:r>
        <w:drawing>
          <wp:inline xmlns:a="http://schemas.openxmlformats.org/drawingml/2006/main" xmlns:pic="http://schemas.openxmlformats.org/drawingml/2006/picture">
            <wp:extent cx="5029200" cy="2881123"/>
            <wp:docPr id="9" name="Picture 9"/>
            <wp:cNvGraphicFramePr>
              <a:graphicFrameLocks noChangeAspect="1"/>
            </wp:cNvGraphicFramePr>
            <a:graphic>
              <a:graphicData uri="http://schemas.openxmlformats.org/drawingml/2006/picture">
                <pic:pic>
                  <pic:nvPicPr>
                    <pic:cNvPr id="0" name="chart_3_1_is_trend.png"/>
                    <pic:cNvPicPr/>
                  </pic:nvPicPr>
                  <pic:blipFill>
                    <a:blip r:embed="rId17"/>
                    <a:stretch>
                      <a:fillRect/>
                    </a:stretch>
                  </pic:blipFill>
                  <pic:spPr>
                    <a:xfrm>
                      <a:off x="0" y="0"/>
                      <a:ext cx="5029200" cy="2881123"/>
                    </a:xfrm>
                    <a:prstGeom prst="rect"/>
                  </pic:spPr>
                </pic:pic>
              </a:graphicData>
            </a:graphic>
          </wp:inline>
        </w:drawing>
      </w:r>
    </w:p>
    <w:p/>
    <w:p>
      <w:pPr>
        <w:pStyle w:val="Heading1"/>
        <w:spacing w:before="240" w:after="120" w:line="360" w:lineRule="auto"/>
      </w:pPr>
      <w:r>
        <w:rPr>
          <w:rFonts w:ascii="黑体" w:hAnsi="黑体" w:eastAsia="黑体"/>
          <w:b/>
          <w:sz w:val="36"/>
        </w:rPr>
        <w:t>第四部分　综合结论</w:t>
      </w:r>
    </w:p>
    <w:p>
      <w:pPr>
        <w:pStyle w:val="Heading2"/>
        <w:spacing w:before="240" w:after="120" w:line="360" w:lineRule="auto"/>
      </w:pPr>
      <w:r>
        <w:rPr>
          <w:rFonts w:ascii="黑体" w:hAnsi="黑体" w:eastAsia="黑体"/>
          <w:b/>
          <w:sz w:val="28"/>
        </w:rPr>
        <w:t>4.1 叙事预期 vs 财报现实对比</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维度</w:t>
            </w:r>
          </w:p>
        </w:tc>
        <w:tc>
          <w:tcPr>
            <w:tcW w:type="dxa" w:w="2160"/>
          </w:tcPr>
          <w:p>
            <w:pPr>
              <w:jc w:val="center"/>
            </w:pPr>
            <w:r>
              <w:rPr>
                <w:rFonts w:ascii="黑体" w:hAnsi="黑体" w:eastAsia="黑体"/>
                <w:b/>
                <w:sz w:val="20"/>
              </w:rPr>
              <w:t>叙事预期（DCF隐含）</w:t>
            </w:r>
          </w:p>
        </w:tc>
        <w:tc>
          <w:tcPr>
            <w:tcW w:type="dxa" w:w="2160"/>
          </w:tcPr>
          <w:p>
            <w:pPr>
              <w:jc w:val="center"/>
            </w:pPr>
            <w:r>
              <w:rPr>
                <w:rFonts w:ascii="黑体" w:hAnsi="黑体" w:eastAsia="黑体"/>
                <w:b/>
                <w:sz w:val="20"/>
              </w:rPr>
              <w:t>财报现实</w:t>
            </w:r>
          </w:p>
        </w:tc>
        <w:tc>
          <w:tcPr>
            <w:tcW w:type="dxa" w:w="2160"/>
          </w:tcPr>
          <w:p>
            <w:pPr>
              <w:jc w:val="center"/>
            </w:pPr>
            <w:r>
              <w:rPr>
                <w:rFonts w:ascii="黑体" w:hAnsi="黑体" w:eastAsia="黑体"/>
                <w:b/>
                <w:sz w:val="20"/>
              </w:rPr>
              <w:t>是否一致</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增长水平</w:t>
            </w:r>
          </w:p>
        </w:tc>
        <w:tc>
          <w:tcPr>
            <w:tcW w:type="dxa" w:w="2160"/>
          </w:tcPr>
          <w:p>
            <w:pPr>
              <w:jc w:val="center"/>
            </w:pPr>
            <w:r>
              <w:rPr>
                <w:rFonts w:ascii="黑体" w:hAnsi="黑体" w:eastAsia="黑体"/>
                <w:b/>
                <w:sz w:val="20"/>
              </w:rPr>
              <w:t>L/E3=0.71x，长期盈利下滑</w:t>
            </w:r>
          </w:p>
        </w:tc>
        <w:tc>
          <w:tcPr>
            <w:tcW w:type="dxa" w:w="2160"/>
          </w:tcPr>
          <w:p>
            <w:pPr>
              <w:jc w:val="center"/>
            </w:pPr>
            <w:r>
              <w:rPr>
                <w:rFonts w:ascii="黑体" w:hAnsi="黑体" w:eastAsia="黑体"/>
                <w:b/>
                <w:sz w:val="20"/>
              </w:rPr>
              <w:t>2025年归母-11.5%，2026Q1+7.1%；产量持续增长</w:t>
            </w:r>
          </w:p>
        </w:tc>
        <w:tc>
          <w:tcPr>
            <w:tcW w:type="dxa" w:w="2160"/>
          </w:tcPr>
          <w:p>
            <w:pPr>
              <w:jc w:val="center"/>
            </w:pPr>
            <w:r>
              <w:rPr>
                <w:rFonts w:ascii="黑体" w:hAnsi="黑体" w:eastAsia="黑体"/>
                <w:b/>
                <w:sz w:val="20"/>
              </w:rPr>
              <w:t>部分一致</w:t>
            </w:r>
          </w:p>
        </w:tc>
      </w:tr>
      <w:tr>
        <w:tc>
          <w:tcPr>
            <w:tcW w:type="dxa" w:w="2160"/>
          </w:tcPr>
          <w:p>
            <w:pPr>
              <w:jc w:val="right"/>
            </w:pPr>
            <w:r>
              <w:rPr>
                <w:rFonts w:ascii="宋体" w:hAnsi="宋体" w:eastAsia="宋体"/>
                <w:b w:val="0"/>
                <w:sz w:val="18"/>
              </w:rPr>
              <w:t>现金流质量</w:t>
            </w:r>
          </w:p>
        </w:tc>
        <w:tc>
          <w:tcPr>
            <w:tcW w:type="dxa" w:w="2160"/>
          </w:tcPr>
          <w:p>
            <w:pPr>
              <w:jc w:val="right"/>
            </w:pPr>
            <w:r>
              <w:rPr>
                <w:rFonts w:ascii="宋体" w:hAnsi="宋体" w:eastAsia="宋体"/>
                <w:b w:val="0"/>
                <w:sz w:val="18"/>
              </w:rPr>
              <w:t>经营现金流覆盖利润</w:t>
            </w:r>
          </w:p>
        </w:tc>
        <w:tc>
          <w:tcPr>
            <w:tcW w:type="dxa" w:w="2160"/>
          </w:tcPr>
          <w:p>
            <w:pPr>
              <w:jc w:val="right"/>
            </w:pPr>
            <w:r>
              <w:rPr>
                <w:rFonts w:ascii="宋体" w:hAnsi="宋体" w:eastAsia="宋体"/>
                <w:b w:val="0"/>
                <w:sz w:val="18"/>
              </w:rPr>
              <w:t>2025年经营现金流2,090亿，自由现金流974亿</w:t>
            </w:r>
          </w:p>
        </w:tc>
        <w:tc>
          <w:tcPr>
            <w:tcW w:type="dxa" w:w="2160"/>
          </w:tcPr>
          <w:p>
            <w:pPr>
              <w:jc w:val="right"/>
            </w:pPr>
            <w:r>
              <w:rPr>
                <w:rFonts w:ascii="宋体" w:hAnsi="宋体" w:eastAsia="宋体"/>
                <w:b w:val="0"/>
                <w:sz w:val="18"/>
              </w:rPr>
              <w:t>一致</w:t>
            </w:r>
          </w:p>
        </w:tc>
      </w:tr>
      <w:tr>
        <w:tc>
          <w:tcPr>
            <w:tcW w:type="dxa" w:w="2160"/>
          </w:tcPr>
          <w:p>
            <w:pPr>
              <w:jc w:val="right"/>
            </w:pPr>
            <w:r>
              <w:rPr>
                <w:rFonts w:ascii="宋体" w:hAnsi="宋体" w:eastAsia="宋体"/>
                <w:b w:val="0"/>
                <w:sz w:val="18"/>
              </w:rPr>
              <w:t>产业链地位</w:t>
            </w:r>
          </w:p>
        </w:tc>
        <w:tc>
          <w:tcPr>
            <w:tcW w:type="dxa" w:w="2160"/>
          </w:tcPr>
          <w:p>
            <w:pPr>
              <w:jc w:val="right"/>
            </w:pPr>
            <w:r>
              <w:rPr>
                <w:rFonts w:ascii="宋体" w:hAnsi="宋体" w:eastAsia="宋体"/>
                <w:b w:val="0"/>
                <w:sz w:val="18"/>
              </w:rPr>
              <w:t>占款能力强</w:t>
            </w:r>
          </w:p>
        </w:tc>
        <w:tc>
          <w:tcPr>
            <w:tcW w:type="dxa" w:w="2160"/>
          </w:tcPr>
          <w:p>
            <w:pPr>
              <w:jc w:val="right"/>
            </w:pPr>
            <w:r>
              <w:rPr>
                <w:rFonts w:ascii="宋体" w:hAnsi="宋体" w:eastAsia="宋体"/>
                <w:b w:val="0"/>
                <w:sz w:val="18"/>
              </w:rPr>
              <w:t>应付596亿 vs 应收330亿，应付周转天数111天</w:t>
            </w:r>
          </w:p>
        </w:tc>
        <w:tc>
          <w:tcPr>
            <w:tcW w:type="dxa" w:w="2160"/>
          </w:tcPr>
          <w:p>
            <w:pPr>
              <w:jc w:val="right"/>
            </w:pPr>
            <w:r>
              <w:rPr>
                <w:rFonts w:ascii="宋体" w:hAnsi="宋体" w:eastAsia="宋体"/>
                <w:b w:val="0"/>
                <w:sz w:val="18"/>
              </w:rPr>
              <w:t>一致</w:t>
            </w:r>
          </w:p>
        </w:tc>
      </w:tr>
      <w:tr>
        <w:tc>
          <w:tcPr>
            <w:tcW w:type="dxa" w:w="2160"/>
          </w:tcPr>
          <w:p>
            <w:pPr>
              <w:jc w:val="right"/>
            </w:pPr>
            <w:r>
              <w:rPr>
                <w:rFonts w:ascii="宋体" w:hAnsi="宋体" w:eastAsia="宋体"/>
                <w:b w:val="0"/>
                <w:sz w:val="18"/>
              </w:rPr>
              <w:t>再投资效率</w:t>
            </w:r>
          </w:p>
        </w:tc>
        <w:tc>
          <w:tcPr>
            <w:tcW w:type="dxa" w:w="2160"/>
          </w:tcPr>
          <w:p>
            <w:pPr>
              <w:jc w:val="right"/>
            </w:pPr>
            <w:r>
              <w:rPr>
                <w:rFonts w:ascii="宋体" w:hAnsi="宋体" w:eastAsia="宋体"/>
                <w:b w:val="0"/>
                <w:sz w:val="18"/>
              </w:rPr>
              <w:t>资本开支维持高位</w:t>
            </w:r>
          </w:p>
        </w:tc>
        <w:tc>
          <w:tcPr>
            <w:tcW w:type="dxa" w:w="2160"/>
          </w:tcPr>
          <w:p>
            <w:pPr>
              <w:jc w:val="right"/>
            </w:pPr>
            <w:r>
              <w:rPr>
                <w:rFonts w:ascii="宋体" w:hAnsi="宋体" w:eastAsia="宋体"/>
                <w:b w:val="0"/>
                <w:sz w:val="18"/>
              </w:rPr>
              <w:t>2025年资本开支1,205亿，2026预算1,120-1,220亿</w:t>
            </w:r>
          </w:p>
        </w:tc>
        <w:tc>
          <w:tcPr>
            <w:tcW w:type="dxa" w:w="2160"/>
          </w:tcPr>
          <w:p>
            <w:pPr>
              <w:jc w:val="right"/>
            </w:pPr>
            <w:r>
              <w:rPr>
                <w:rFonts w:ascii="宋体" w:hAnsi="宋体" w:eastAsia="宋体"/>
                <w:b w:val="0"/>
                <w:sz w:val="18"/>
              </w:rPr>
              <w:t>一致</w:t>
            </w:r>
          </w:p>
        </w:tc>
      </w:tr>
      <w:tr>
        <w:tc>
          <w:tcPr>
            <w:tcW w:type="dxa" w:w="2160"/>
          </w:tcPr>
          <w:p>
            <w:pPr>
              <w:jc w:val="right"/>
            </w:pPr>
            <w:r>
              <w:rPr>
                <w:rFonts w:ascii="宋体" w:hAnsi="宋体" w:eastAsia="宋体"/>
                <w:b w:val="0"/>
                <w:sz w:val="18"/>
              </w:rPr>
              <w:t>业绩可持续性</w:t>
            </w:r>
          </w:p>
        </w:tc>
        <w:tc>
          <w:tcPr>
            <w:tcW w:type="dxa" w:w="2160"/>
          </w:tcPr>
          <w:p>
            <w:pPr>
              <w:jc w:val="right"/>
            </w:pPr>
            <w:r>
              <w:rPr>
                <w:rFonts w:ascii="宋体" w:hAnsi="宋体" w:eastAsia="宋体"/>
                <w:b w:val="0"/>
                <w:sz w:val="18"/>
              </w:rPr>
              <w:t>油价波动影响大</w:t>
            </w:r>
          </w:p>
        </w:tc>
        <w:tc>
          <w:tcPr>
            <w:tcW w:type="dxa" w:w="2160"/>
          </w:tcPr>
          <w:p>
            <w:pPr>
              <w:jc w:val="right"/>
            </w:pPr>
            <w:r>
              <w:rPr>
                <w:rFonts w:ascii="宋体" w:hAnsi="宋体" w:eastAsia="宋体"/>
                <w:b w:val="0"/>
                <w:sz w:val="18"/>
              </w:rPr>
              <w:t>成本领先，但2025年利润随油价下跌</w:t>
            </w:r>
          </w:p>
        </w:tc>
        <w:tc>
          <w:tcPr>
            <w:tcW w:type="dxa" w:w="2160"/>
          </w:tcPr>
          <w:p>
            <w:pPr>
              <w:jc w:val="right"/>
            </w:pPr>
            <w:r>
              <w:rPr>
                <w:rFonts w:ascii="宋体" w:hAnsi="宋体" w:eastAsia="宋体"/>
                <w:b w:val="0"/>
                <w:sz w:val="18"/>
              </w:rPr>
              <w:t>一致</w:t>
            </w:r>
          </w:p>
        </w:tc>
      </w:tr>
    </w:tbl>
    <w:p/>
    <w:p>
      <w:pPr>
        <w:pStyle w:val="Heading2"/>
        <w:spacing w:before="240" w:after="120" w:line="360" w:lineRule="auto"/>
      </w:pPr>
      <w:r>
        <w:rPr>
          <w:rFonts w:ascii="黑体" w:hAnsi="黑体" w:eastAsia="黑体"/>
          <w:b/>
          <w:sz w:val="28"/>
        </w:rPr>
        <w:t>4.2 财务质量五维评估</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0"/>
              </w:rPr>
              <w:t>维度</w:t>
            </w:r>
          </w:p>
        </w:tc>
        <w:tc>
          <w:tcPr>
            <w:tcW w:type="dxa" w:w="2880"/>
          </w:tcPr>
          <w:p>
            <w:pPr>
              <w:jc w:val="center"/>
            </w:pPr>
            <w:r>
              <w:rPr>
                <w:rFonts w:ascii="黑体" w:hAnsi="黑体" w:eastAsia="黑体"/>
                <w:b/>
                <w:sz w:val="20"/>
              </w:rPr>
              <w:t>评级</w:t>
            </w:r>
          </w:p>
        </w:tc>
        <w:tc>
          <w:tcPr>
            <w:tcW w:type="dxa" w:w="2880"/>
          </w:tcPr>
          <w:p>
            <w:pPr>
              <w:jc w:val="center"/>
            </w:pPr>
            <w:r>
              <w:rPr>
                <w:rFonts w:ascii="黑体" w:hAnsi="黑体" w:eastAsia="黑体"/>
                <w:b/>
                <w:sz w:val="20"/>
              </w:rPr>
              <w:t>理由</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0"/>
              </w:rPr>
              <w:t>盈利质量</w:t>
            </w:r>
          </w:p>
        </w:tc>
        <w:tc>
          <w:tcPr>
            <w:tcW w:type="dxa" w:w="2880"/>
          </w:tcPr>
          <w:p>
            <w:pPr>
              <w:jc w:val="center"/>
            </w:pPr>
            <w:r>
              <w:rPr>
                <w:rFonts w:ascii="黑体" w:hAnsi="黑体" w:eastAsia="黑体"/>
                <w:b/>
                <w:sz w:val="20"/>
              </w:rPr>
              <w:t>优秀</w:t>
            </w:r>
          </w:p>
        </w:tc>
        <w:tc>
          <w:tcPr>
            <w:tcW w:type="dxa" w:w="2880"/>
          </w:tcPr>
          <w:p>
            <w:pPr>
              <w:jc w:val="center"/>
            </w:pPr>
            <w:r>
              <w:rPr>
                <w:rFonts w:ascii="黑体" w:hAnsi="黑体" w:eastAsia="黑体"/>
                <w:b/>
                <w:sz w:val="20"/>
              </w:rPr>
              <w:t>毛利率51.5%、净利率30.7%，扣非占比98.6%，非经常性依赖度极低</w:t>
            </w:r>
          </w:p>
        </w:tc>
      </w:tr>
      <w:tr>
        <w:tc>
          <w:tcPr>
            <w:tcW w:type="dxa" w:w="2880"/>
          </w:tcPr>
          <w:p>
            <w:pPr>
              <w:jc w:val="right"/>
            </w:pPr>
            <w:r>
              <w:rPr>
                <w:rFonts w:ascii="宋体" w:hAnsi="宋体" w:eastAsia="宋体"/>
                <w:b w:val="0"/>
                <w:sz w:val="18"/>
              </w:rPr>
              <w:t>现金流质量</w:t>
            </w:r>
          </w:p>
        </w:tc>
        <w:tc>
          <w:tcPr>
            <w:tcW w:type="dxa" w:w="2880"/>
          </w:tcPr>
          <w:p>
            <w:pPr>
              <w:jc w:val="right"/>
            </w:pPr>
            <w:r>
              <w:rPr>
                <w:rFonts w:ascii="宋体" w:hAnsi="宋体" w:eastAsia="宋体"/>
                <w:b w:val="0"/>
                <w:sz w:val="18"/>
              </w:rPr>
              <w:t>优秀</w:t>
            </w:r>
          </w:p>
        </w:tc>
        <w:tc>
          <w:tcPr>
            <w:tcW w:type="dxa" w:w="2880"/>
          </w:tcPr>
          <w:p>
            <w:pPr>
              <w:jc w:val="right"/>
            </w:pPr>
            <w:r>
              <w:rPr>
                <w:rFonts w:ascii="宋体" w:hAnsi="宋体" w:eastAsia="宋体"/>
                <w:b w:val="0"/>
                <w:sz w:val="18"/>
              </w:rPr>
              <w:t>经营现金流/净利润约1.71倍，自由现金流充沛，利润现金含金量高</w:t>
            </w:r>
          </w:p>
        </w:tc>
      </w:tr>
      <w:tr>
        <w:tc>
          <w:tcPr>
            <w:tcW w:type="dxa" w:w="2880"/>
          </w:tcPr>
          <w:p>
            <w:pPr>
              <w:jc w:val="right"/>
            </w:pPr>
            <w:r>
              <w:rPr>
                <w:rFonts w:ascii="宋体" w:hAnsi="宋体" w:eastAsia="宋体"/>
                <w:b w:val="0"/>
                <w:sz w:val="18"/>
              </w:rPr>
              <w:t>产业链地位</w:t>
            </w:r>
          </w:p>
        </w:tc>
        <w:tc>
          <w:tcPr>
            <w:tcW w:type="dxa" w:w="2880"/>
          </w:tcPr>
          <w:p>
            <w:pPr>
              <w:jc w:val="right"/>
            </w:pPr>
            <w:r>
              <w:rPr>
                <w:rFonts w:ascii="宋体" w:hAnsi="宋体" w:eastAsia="宋体"/>
                <w:b w:val="0"/>
                <w:sz w:val="18"/>
              </w:rPr>
              <w:t>优秀</w:t>
            </w:r>
          </w:p>
        </w:tc>
        <w:tc>
          <w:tcPr>
            <w:tcW w:type="dxa" w:w="2880"/>
          </w:tcPr>
          <w:p>
            <w:pPr>
              <w:jc w:val="right"/>
            </w:pPr>
            <w:r>
              <w:rPr>
                <w:rFonts w:ascii="宋体" w:hAnsi="宋体" w:eastAsia="宋体"/>
                <w:b w:val="0"/>
                <w:sz w:val="18"/>
              </w:rPr>
              <w:t>应付账款远大于应收账款，对供应商占款能力强，合同负债虽小但现金流稳健</w:t>
            </w:r>
          </w:p>
        </w:tc>
      </w:tr>
      <w:tr>
        <w:tc>
          <w:tcPr>
            <w:tcW w:type="dxa" w:w="2880"/>
          </w:tcPr>
          <w:p>
            <w:pPr>
              <w:jc w:val="right"/>
            </w:pPr>
            <w:r>
              <w:rPr>
                <w:rFonts w:ascii="宋体" w:hAnsi="宋体" w:eastAsia="宋体"/>
                <w:b w:val="0"/>
                <w:sz w:val="18"/>
              </w:rPr>
              <w:t>再投资效率</w:t>
            </w:r>
          </w:p>
        </w:tc>
        <w:tc>
          <w:tcPr>
            <w:tcW w:type="dxa" w:w="2880"/>
          </w:tcPr>
          <w:p>
            <w:pPr>
              <w:jc w:val="right"/>
            </w:pPr>
            <w:r>
              <w:rPr>
                <w:rFonts w:ascii="宋体" w:hAnsi="宋体" w:eastAsia="宋体"/>
                <w:b w:val="0"/>
                <w:sz w:val="18"/>
              </w:rPr>
              <w:t>良好</w:t>
            </w:r>
          </w:p>
        </w:tc>
        <w:tc>
          <w:tcPr>
            <w:tcW w:type="dxa" w:w="2880"/>
          </w:tcPr>
          <w:p>
            <w:pPr>
              <w:jc w:val="right"/>
            </w:pPr>
            <w:r>
              <w:rPr>
                <w:rFonts w:ascii="宋体" w:hAnsi="宋体" w:eastAsia="宋体"/>
                <w:b w:val="0"/>
                <w:sz w:val="18"/>
              </w:rPr>
              <w:t>资本开支强度较高，但产量持续增长，桶油成本全球领先，ROE 15.6%</w:t>
            </w:r>
          </w:p>
        </w:tc>
      </w:tr>
    </w:tbl>
    <w:p/>
    <w:p>
      <w:pPr>
        <w:pStyle w:val="Heading2"/>
        <w:spacing w:before="240" w:after="120" w:line="360" w:lineRule="auto"/>
      </w:pPr>
      <w:r>
        <w:rPr>
          <w:rFonts w:ascii="黑体" w:hAnsi="黑体" w:eastAsia="黑体"/>
          <w:b/>
          <w:sz w:val="28"/>
        </w:rPr>
        <w:t>4.3 主要风险点清单</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风险类型</w:t>
            </w:r>
          </w:p>
        </w:tc>
        <w:tc>
          <w:tcPr>
            <w:tcW w:type="dxa" w:w="2160"/>
          </w:tcPr>
          <w:p>
            <w:pPr>
              <w:jc w:val="center"/>
            </w:pPr>
            <w:r>
              <w:rPr>
                <w:rFonts w:ascii="黑体" w:hAnsi="黑体" w:eastAsia="黑体"/>
                <w:b/>
                <w:sz w:val="20"/>
              </w:rPr>
              <w:t>具体表现</w:t>
            </w:r>
          </w:p>
        </w:tc>
        <w:tc>
          <w:tcPr>
            <w:tcW w:type="dxa" w:w="2160"/>
          </w:tcPr>
          <w:p>
            <w:pPr>
              <w:jc w:val="center"/>
            </w:pPr>
            <w:r>
              <w:rPr>
                <w:rFonts w:ascii="黑体" w:hAnsi="黑体" w:eastAsia="黑体"/>
                <w:b/>
                <w:sz w:val="20"/>
              </w:rPr>
              <w:t>严重程度</w:t>
            </w:r>
          </w:p>
        </w:tc>
        <w:tc>
          <w:tcPr>
            <w:tcW w:type="dxa" w:w="2160"/>
          </w:tcPr>
          <w:p>
            <w:pPr>
              <w:jc w:val="center"/>
            </w:pPr>
            <w:r>
              <w:rPr>
                <w:rFonts w:ascii="黑体" w:hAnsi="黑体" w:eastAsia="黑体"/>
                <w:b/>
                <w:sz w:val="20"/>
              </w:rPr>
              <w:t>关注信号</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黑体" w:hAnsi="黑体" w:eastAsia="黑体"/>
                <w:b/>
                <w:sz w:val="20"/>
              </w:rPr>
              <w:t>油价下行风险</w:t>
            </w:r>
          </w:p>
        </w:tc>
        <w:tc>
          <w:tcPr>
            <w:tcW w:type="dxa" w:w="2160"/>
          </w:tcPr>
          <w:p>
            <w:pPr>
              <w:jc w:val="center"/>
            </w:pPr>
            <w:r>
              <w:rPr>
                <w:rFonts w:ascii="黑体" w:hAnsi="黑体" w:eastAsia="黑体"/>
                <w:b/>
                <w:sz w:val="20"/>
              </w:rPr>
              <w:t>布伦特油价若跌至60美元以下，利润将显著下滑</w:t>
            </w:r>
          </w:p>
        </w:tc>
        <w:tc>
          <w:tcPr>
            <w:tcW w:type="dxa" w:w="2160"/>
          </w:tcPr>
          <w:p>
            <w:pPr>
              <w:jc w:val="center"/>
            </w:pPr>
            <w:r>
              <w:rPr>
                <w:rFonts w:ascii="黑体" w:hAnsi="黑体" w:eastAsia="黑体"/>
                <w:b/>
                <w:sz w:val="20"/>
              </w:rPr>
              <w:t>中高</w:t>
            </w:r>
          </w:p>
        </w:tc>
        <w:tc>
          <w:tcPr>
            <w:tcW w:type="dxa" w:w="2160"/>
          </w:tcPr>
          <w:p>
            <w:pPr>
              <w:jc w:val="center"/>
            </w:pPr>
            <w:r>
              <w:rPr>
                <w:rFonts w:ascii="黑体" w:hAnsi="黑体" w:eastAsia="黑体"/>
                <w:b/>
                <w:sz w:val="20"/>
              </w:rPr>
              <w:t>季度实现油价、OPEC+产量政策</w:t>
            </w:r>
          </w:p>
        </w:tc>
      </w:tr>
      <w:tr>
        <w:tc>
          <w:tcPr>
            <w:tcW w:type="dxa" w:w="2160"/>
          </w:tcPr>
          <w:p>
            <w:pPr>
              <w:jc w:val="right"/>
            </w:pPr>
            <w:r>
              <w:rPr>
                <w:rFonts w:ascii="宋体" w:hAnsi="宋体" w:eastAsia="宋体"/>
                <w:b w:val="0"/>
                <w:sz w:val="18"/>
              </w:rPr>
              <w:t>资本开支效率</w:t>
            </w:r>
          </w:p>
        </w:tc>
        <w:tc>
          <w:tcPr>
            <w:tcW w:type="dxa" w:w="2160"/>
          </w:tcPr>
          <w:p>
            <w:pPr>
              <w:jc w:val="right"/>
            </w:pPr>
            <w:r>
              <w:rPr>
                <w:rFonts w:ascii="宋体" w:hAnsi="宋体" w:eastAsia="宋体"/>
                <w:b w:val="0"/>
                <w:sz w:val="18"/>
              </w:rPr>
              <w:t>2025年在建工程激增至1,509亿，需关注转固和产量转化</w:t>
            </w:r>
          </w:p>
        </w:tc>
        <w:tc>
          <w:tcPr>
            <w:tcW w:type="dxa" w:w="2160"/>
          </w:tcPr>
          <w:p>
            <w:pPr>
              <w:jc w:val="right"/>
            </w:pPr>
            <w:r>
              <w:rPr>
                <w:rFonts w:ascii="宋体" w:hAnsi="宋体" w:eastAsia="宋体"/>
                <w:b w:val="0"/>
                <w:sz w:val="18"/>
              </w:rPr>
              <w:t>中</w:t>
            </w:r>
          </w:p>
        </w:tc>
        <w:tc>
          <w:tcPr>
            <w:tcW w:type="dxa" w:w="2160"/>
          </w:tcPr>
          <w:p>
            <w:pPr>
              <w:jc w:val="right"/>
            </w:pPr>
            <w:r>
              <w:rPr>
                <w:rFonts w:ascii="宋体" w:hAnsi="宋体" w:eastAsia="宋体"/>
                <w:b w:val="0"/>
                <w:sz w:val="18"/>
              </w:rPr>
              <w:t>在建工程转固节奏、资本开支/折旧</w:t>
            </w:r>
          </w:p>
        </w:tc>
      </w:tr>
      <w:tr>
        <w:tc>
          <w:tcPr>
            <w:tcW w:type="dxa" w:w="2160"/>
          </w:tcPr>
          <w:p>
            <w:pPr>
              <w:jc w:val="right"/>
            </w:pPr>
            <w:r>
              <w:rPr>
                <w:rFonts w:ascii="宋体" w:hAnsi="宋体" w:eastAsia="宋体"/>
                <w:b w:val="0"/>
                <w:sz w:val="18"/>
              </w:rPr>
              <w:t>地缘政治风险</w:t>
            </w:r>
          </w:p>
        </w:tc>
        <w:tc>
          <w:tcPr>
            <w:tcW w:type="dxa" w:w="2160"/>
          </w:tcPr>
          <w:p>
            <w:pPr>
              <w:jc w:val="right"/>
            </w:pPr>
            <w:r>
              <w:rPr>
                <w:rFonts w:ascii="宋体" w:hAnsi="宋体" w:eastAsia="宋体"/>
                <w:b w:val="0"/>
                <w:sz w:val="18"/>
              </w:rPr>
              <w:t>海外项目（圭亚那、伊拉克、尼日利亚）面临政策/制裁风险</w:t>
            </w:r>
          </w:p>
        </w:tc>
        <w:tc>
          <w:tcPr>
            <w:tcW w:type="dxa" w:w="2160"/>
          </w:tcPr>
          <w:p>
            <w:pPr>
              <w:jc w:val="right"/>
            </w:pPr>
            <w:r>
              <w:rPr>
                <w:rFonts w:ascii="宋体" w:hAnsi="宋体" w:eastAsia="宋体"/>
                <w:b w:val="0"/>
                <w:sz w:val="18"/>
              </w:rPr>
              <w:t>中</w:t>
            </w:r>
          </w:p>
        </w:tc>
        <w:tc>
          <w:tcPr>
            <w:tcW w:type="dxa" w:w="2160"/>
          </w:tcPr>
          <w:p>
            <w:pPr>
              <w:jc w:val="right"/>
            </w:pPr>
            <w:r>
              <w:rPr>
                <w:rFonts w:ascii="宋体" w:hAnsi="宋体" w:eastAsia="宋体"/>
                <w:b w:val="0"/>
                <w:sz w:val="18"/>
              </w:rPr>
              <w:t>海外产量、汇率、制裁动态</w:t>
            </w:r>
          </w:p>
        </w:tc>
      </w:tr>
      <w:tr>
        <w:tc>
          <w:tcPr>
            <w:tcW w:type="dxa" w:w="2160"/>
          </w:tcPr>
          <w:p>
            <w:pPr>
              <w:jc w:val="right"/>
            </w:pPr>
            <w:r>
              <w:rPr>
                <w:rFonts w:ascii="宋体" w:hAnsi="宋体" w:eastAsia="宋体"/>
                <w:b w:val="0"/>
                <w:sz w:val="18"/>
              </w:rPr>
              <w:t>能源转型风险</w:t>
            </w:r>
          </w:p>
        </w:tc>
        <w:tc>
          <w:tcPr>
            <w:tcW w:type="dxa" w:w="2160"/>
          </w:tcPr>
          <w:p>
            <w:pPr>
              <w:jc w:val="right"/>
            </w:pPr>
            <w:r>
              <w:rPr>
                <w:rFonts w:ascii="宋体" w:hAnsi="宋体" w:eastAsia="宋体"/>
                <w:b w:val="0"/>
                <w:sz w:val="18"/>
              </w:rPr>
              <w:t>长期油气需求受新能源替代影响</w:t>
            </w:r>
          </w:p>
        </w:tc>
        <w:tc>
          <w:tcPr>
            <w:tcW w:type="dxa" w:w="2160"/>
          </w:tcPr>
          <w:p>
            <w:pPr>
              <w:jc w:val="right"/>
            </w:pPr>
            <w:r>
              <w:rPr>
                <w:rFonts w:ascii="宋体" w:hAnsi="宋体" w:eastAsia="宋体"/>
                <w:b w:val="0"/>
                <w:sz w:val="18"/>
              </w:rPr>
              <w:t>低中</w:t>
            </w:r>
          </w:p>
        </w:tc>
        <w:tc>
          <w:tcPr>
            <w:tcW w:type="dxa" w:w="2160"/>
          </w:tcPr>
          <w:p>
            <w:pPr>
              <w:jc w:val="right"/>
            </w:pPr>
            <w:r>
              <w:rPr>
                <w:rFonts w:ascii="宋体" w:hAnsi="宋体" w:eastAsia="宋体"/>
                <w:b w:val="0"/>
                <w:sz w:val="18"/>
              </w:rPr>
              <w:t>全球碳中和政策、天然气需求增速</w:t>
            </w:r>
          </w:p>
        </w:tc>
      </w:tr>
      <w:tr>
        <w:tc>
          <w:tcPr>
            <w:tcW w:type="dxa" w:w="2160"/>
          </w:tcPr>
          <w:p>
            <w:pPr>
              <w:jc w:val="right"/>
            </w:pPr>
            <w:r>
              <w:rPr>
                <w:rFonts w:ascii="宋体" w:hAnsi="宋体" w:eastAsia="宋体"/>
                <w:b w:val="0"/>
                <w:sz w:val="18"/>
              </w:rPr>
              <w:t>汇率波动风险</w:t>
            </w:r>
          </w:p>
        </w:tc>
        <w:tc>
          <w:tcPr>
            <w:tcW w:type="dxa" w:w="2160"/>
          </w:tcPr>
          <w:p>
            <w:pPr>
              <w:jc w:val="right"/>
            </w:pPr>
            <w:r>
              <w:rPr>
                <w:rFonts w:ascii="宋体" w:hAnsi="宋体" w:eastAsia="宋体"/>
                <w:b w:val="0"/>
                <w:sz w:val="18"/>
              </w:rPr>
              <w:t>海外收入以美元计价，人民币升值影响利润</w:t>
            </w:r>
          </w:p>
        </w:tc>
        <w:tc>
          <w:tcPr>
            <w:tcW w:type="dxa" w:w="2160"/>
          </w:tcPr>
          <w:p>
            <w:pPr>
              <w:jc w:val="right"/>
            </w:pPr>
            <w:r>
              <w:rPr>
                <w:rFonts w:ascii="宋体" w:hAnsi="宋体" w:eastAsia="宋体"/>
                <w:b w:val="0"/>
                <w:sz w:val="18"/>
              </w:rPr>
              <w:t>低中</w:t>
            </w:r>
          </w:p>
        </w:tc>
        <w:tc>
          <w:tcPr>
            <w:tcW w:type="dxa" w:w="2160"/>
          </w:tcPr>
          <w:p>
            <w:pPr>
              <w:jc w:val="right"/>
            </w:pPr>
            <w:r>
              <w:rPr>
                <w:rFonts w:ascii="宋体" w:hAnsi="宋体" w:eastAsia="宋体"/>
                <w:b w:val="0"/>
                <w:sz w:val="18"/>
              </w:rPr>
              <w:t>人民币兑美元汇率、汇兑损益</w:t>
            </w:r>
          </w:p>
        </w:tc>
      </w:tr>
    </w:tbl>
    <w:p/>
    <w:p>
      <w:pPr>
        <w:pStyle w:val="Heading2"/>
        <w:spacing w:before="240" w:after="120" w:line="360" w:lineRule="auto"/>
      </w:pPr>
      <w:r>
        <w:rPr>
          <w:rFonts w:ascii="黑体" w:hAnsi="黑体" w:eastAsia="黑体"/>
          <w:b/>
          <w:sz w:val="28"/>
        </w:rPr>
        <w:t>4.4 预期差判断与关注信号</w:t>
      </w:r>
    </w:p>
    <w:p>
      <w:pPr>
        <w:spacing w:line="360" w:lineRule="auto" w:after="120"/>
        <w:ind w:firstLine="0"/>
      </w:pPr>
      <w:r>
        <w:rPr>
          <w:rFonts w:ascii="宋体" w:hAnsi="宋体" w:eastAsia="宋体"/>
          <w:b/>
          <w:sz w:val="24"/>
        </w:rPr>
        <w:t>当前预期差判断：中性偏正</w:t>
      </w:r>
    </w:p>
    <w:p>
      <w:pPr>
        <w:spacing w:line="360" w:lineRule="auto" w:after="120"/>
        <w:ind w:firstLine="480"/>
      </w:pPr>
      <w:r>
        <w:rPr>
          <w:rFonts w:ascii="宋体" w:hAnsi="宋体" w:eastAsia="宋体"/>
          <w:b w:val="0"/>
          <w:sz w:val="24"/>
        </w:rPr>
        <w:t>① 叙事层面：DCF反算L/E3=0.71x，市场定价隐含长期盈利下滑。这一假设较为保守，未充分反映中国海油增储上产战略下产量增长、成本领先、分红稳定的长期价值。</w:t>
      </w:r>
    </w:p>
    <w:p>
      <w:pPr>
        <w:spacing w:line="360" w:lineRule="auto" w:after="120"/>
        <w:ind w:firstLine="480"/>
      </w:pPr>
      <w:r>
        <w:rPr>
          <w:rFonts w:ascii="宋体" w:hAnsi="宋体" w:eastAsia="宋体"/>
          <w:b w:val="0"/>
          <w:sz w:val="24"/>
        </w:rPr>
        <w:t>② 财报层面：三张表显示公司财务质量优秀——现金流充沛、负债率低、利润质量高、产业链地位强。2025年利润下滑主要由油价周期导致，而非经营恶化。2026Q1业绩已随油价反弹实现正增长。</w:t>
      </w:r>
    </w:p>
    <w:p>
      <w:pPr>
        <w:spacing w:line="360" w:lineRule="auto" w:after="120"/>
        <w:ind w:firstLine="480"/>
      </w:pPr>
      <w:r>
        <w:rPr>
          <w:rFonts w:ascii="宋体" w:hAnsi="宋体" w:eastAsia="宋体"/>
          <w:b w:val="0"/>
          <w:sz w:val="24"/>
        </w:rPr>
        <w:t>③ 业绩可持续性：公司2026年规划产量7.8-8.0亿桶油当量，资本开支1,120-1,220亿元，多个新项目（垦利10-2、圭亚那Yellowtail等）贡献增量。只要油价中枢维持在65美元以上，业绩可持续性强。</w:t>
      </w:r>
    </w:p>
    <w:p>
      <w:pPr>
        <w:spacing w:line="360" w:lineRule="auto" w:after="120"/>
        <w:ind w:firstLine="480"/>
      </w:pPr>
      <w:r>
        <w:rPr>
          <w:rFonts w:ascii="宋体" w:hAnsi="宋体" w:eastAsia="宋体"/>
          <w:b w:val="0"/>
          <w:sz w:val="24"/>
        </w:rPr>
        <w:t>④ 正向预期差来源：油价中枢高于预期、产量增长超预期、成本进一步下降、分红率提升。负向预期差来源：油价大幅下跌、资本开支效率下降、海外项目风险。下修空间相对有限，因当前估值已隐含较悲观的长期盈利假设。</w:t>
      </w:r>
    </w:p>
    <w:p>
      <w:pPr>
        <w:spacing w:line="360" w:lineRule="auto" w:after="120"/>
        <w:ind w:firstLine="0"/>
      </w:pPr>
      <w:r>
        <w:rPr>
          <w:rFonts w:ascii="宋体" w:hAnsi="宋体" w:eastAsia="宋体"/>
          <w:b/>
          <w:sz w:val="24"/>
        </w:rPr>
        <w:t>未来关注信号：</w:t>
      </w:r>
    </w:p>
    <w:p>
      <w:pPr>
        <w:spacing w:line="360" w:lineRule="auto" w:after="120"/>
        <w:ind w:firstLine="480"/>
      </w:pPr>
      <w:r>
        <w:rPr>
          <w:rFonts w:ascii="宋体" w:hAnsi="宋体" w:eastAsia="宋体"/>
          <w:b w:val="0"/>
          <w:sz w:val="24"/>
        </w:rPr>
        <w:t>1. 季度毛利率变化（2025年51.47%为基准）</w:t>
      </w:r>
    </w:p>
    <w:p>
      <w:pPr>
        <w:spacing w:line="360" w:lineRule="auto" w:after="120"/>
        <w:ind w:firstLine="480"/>
      </w:pPr>
      <w:r>
        <w:rPr>
          <w:rFonts w:ascii="宋体" w:hAnsi="宋体" w:eastAsia="宋体"/>
          <w:b w:val="0"/>
          <w:sz w:val="24"/>
        </w:rPr>
        <w:t>2. 油气产量与全年目标（7.8-8.0亿桶油当量）的匹配度</w:t>
      </w:r>
    </w:p>
    <w:p>
      <w:pPr>
        <w:spacing w:line="360" w:lineRule="auto" w:after="120"/>
        <w:ind w:firstLine="480"/>
      </w:pPr>
      <w:r>
        <w:rPr>
          <w:rFonts w:ascii="宋体" w:hAnsi="宋体" w:eastAsia="宋体"/>
          <w:b w:val="0"/>
          <w:sz w:val="24"/>
        </w:rPr>
        <w:t>3. 合同负债及应收账款季度变化</w:t>
      </w:r>
    </w:p>
    <w:p>
      <w:pPr>
        <w:spacing w:line="360" w:lineRule="auto" w:after="120"/>
        <w:ind w:firstLine="480"/>
      </w:pPr>
      <w:r>
        <w:rPr>
          <w:rFonts w:ascii="宋体" w:hAnsi="宋体" w:eastAsia="宋体"/>
          <w:b w:val="0"/>
          <w:sz w:val="24"/>
        </w:rPr>
        <w:t>4. 石油液体 vs 天然气收入结构变化</w:t>
      </w:r>
    </w:p>
    <w:p>
      <w:pPr>
        <w:spacing w:line="360" w:lineRule="auto" w:after="120"/>
        <w:ind w:firstLine="480"/>
      </w:pPr>
      <w:r>
        <w:rPr>
          <w:rFonts w:ascii="宋体" w:hAnsi="宋体" w:eastAsia="宋体"/>
          <w:b w:val="0"/>
          <w:sz w:val="24"/>
        </w:rPr>
        <w:t>5. 海外收入占比及汇率影响</w:t>
      </w:r>
    </w:p>
    <w:p>
      <w:pPr>
        <w:spacing w:line="360" w:lineRule="auto" w:after="120"/>
        <w:ind w:firstLine="480"/>
      </w:pPr>
      <w:r>
        <w:rPr>
          <w:rFonts w:ascii="宋体" w:hAnsi="宋体" w:eastAsia="宋体"/>
          <w:b w:val="0"/>
          <w:sz w:val="24"/>
        </w:rPr>
        <w:t>6. 固定资产/油气资产周转率变化</w:t>
      </w:r>
    </w:p>
    <w:p>
      <w:pPr>
        <w:spacing w:line="360" w:lineRule="auto" w:after="120"/>
        <w:ind w:firstLine="480"/>
      </w:pPr>
      <w:r>
        <w:rPr>
          <w:rFonts w:ascii="宋体" w:hAnsi="宋体" w:eastAsia="宋体"/>
          <w:b w:val="0"/>
          <w:sz w:val="24"/>
        </w:rPr>
        <w:t>7. 布伦特原油价格走势及实现油价贴水</w:t>
      </w:r>
    </w:p>
    <w:p>
      <w:pPr>
        <w:pStyle w:val="Heading1"/>
        <w:spacing w:before="240" w:after="120" w:line="360" w:lineRule="auto"/>
      </w:pPr>
      <w:r>
        <w:rPr>
          <w:rFonts w:ascii="黑体" w:hAnsi="黑体" w:eastAsia="黑体"/>
          <w:b/>
          <w:sz w:val="36"/>
        </w:rPr>
        <w:t>附录　方法论与数据说明</w:t>
      </w:r>
    </w:p>
    <w:p>
      <w:pPr>
        <w:pStyle w:val="Heading2"/>
        <w:spacing w:before="240" w:after="120" w:line="360" w:lineRule="auto"/>
      </w:pPr>
      <w:r>
        <w:rPr>
          <w:rFonts w:ascii="黑体" w:hAnsi="黑体" w:eastAsia="黑体"/>
          <w:b/>
          <w:sz w:val="28"/>
        </w:rPr>
        <w:t>A.1 方法论简介</w:t>
      </w:r>
    </w:p>
    <w:p>
      <w:pPr>
        <w:spacing w:line="360" w:lineRule="auto" w:after="120"/>
        <w:ind w:firstLine="480"/>
      </w:pPr>
      <w:r>
        <w:rPr>
          <w:rFonts w:ascii="宋体" w:hAnsi="宋体" w:eastAsia="宋体"/>
          <w:b w:val="0"/>
          <w:sz w:val="24"/>
        </w:rPr>
        <w:t>本报告采用叙事先行+三张表深度验证框架。超额收益只来自叙事变化，而非增速本身。因此先通过DCF反算股价隐含的终局利润L（天花板），判断市场预期；再对资产负债表、利润表按完整科目逐项结合行业背景和公司经营情况做深度分析，验证或证伪该叙事；最后形成预期差判断。三张表原理：利润表是意见，资产负债表是存在，现金流量表是事实。</w:t>
      </w:r>
    </w:p>
    <w:p>
      <w:pPr>
        <w:pStyle w:val="Heading2"/>
        <w:spacing w:before="240" w:after="120" w:line="360" w:lineRule="auto"/>
      </w:pPr>
      <w:r>
        <w:rPr>
          <w:rFonts w:ascii="黑体" w:hAnsi="黑体" w:eastAsia="黑体"/>
          <w:b/>
          <w:sz w:val="28"/>
        </w:rPr>
        <w:t>A.2 数据说明</w:t>
      </w:r>
    </w:p>
    <w:p>
      <w:pPr>
        <w:spacing w:line="360" w:lineRule="auto" w:after="120"/>
        <w:ind w:firstLine="480"/>
      </w:pPr>
      <w:r>
        <w:rPr>
          <w:rFonts w:ascii="宋体" w:hAnsi="宋体" w:eastAsia="宋体"/>
          <w:b w:val="0"/>
          <w:sz w:val="24"/>
        </w:rPr>
        <w:t>1. 资产负债表：列示2023末、2024末、2025末、2026Q1末四个时点，重点科目已逐项分析。</w:t>
      </w:r>
    </w:p>
    <w:p>
      <w:pPr>
        <w:spacing w:line="360" w:lineRule="auto" w:after="120"/>
        <w:ind w:firstLine="480"/>
      </w:pPr>
      <w:r>
        <w:rPr>
          <w:rFonts w:ascii="宋体" w:hAnsi="宋体" w:eastAsia="宋体"/>
          <w:b w:val="0"/>
          <w:sz w:val="24"/>
        </w:rPr>
        <w:t>2. 利润表：列示2023年、2024年、2025年及2026Q1单季度，每个科目变动结合行业背景分析。</w:t>
      </w:r>
    </w:p>
    <w:p>
      <w:pPr>
        <w:spacing w:line="360" w:lineRule="auto" w:after="120"/>
        <w:ind w:firstLine="480"/>
      </w:pPr>
      <w:r>
        <w:rPr>
          <w:rFonts w:ascii="宋体" w:hAnsi="宋体" w:eastAsia="宋体"/>
          <w:b w:val="0"/>
          <w:sz w:val="24"/>
        </w:rPr>
        <w:t>3. 季度数据同季对比：2026Q1与2025Q1对比，消除季节性。</w:t>
      </w:r>
    </w:p>
    <w:p>
      <w:pPr>
        <w:spacing w:line="360" w:lineRule="auto" w:after="120"/>
        <w:ind w:firstLine="480"/>
      </w:pPr>
      <w:r>
        <w:rPr>
          <w:rFonts w:ascii="宋体" w:hAnsi="宋体" w:eastAsia="宋体"/>
          <w:b w:val="0"/>
          <w:sz w:val="24"/>
        </w:rPr>
        <w:t>4. 行业背景联动：每项变动分析结合油价、产量、成本、政策、竞争格局等行业坐标。</w:t>
      </w:r>
    </w:p>
    <w:p>
      <w:pPr>
        <w:spacing w:line="360" w:lineRule="auto" w:after="120"/>
        <w:ind w:firstLine="480"/>
      </w:pPr>
      <w:r>
        <w:rPr>
          <w:rFonts w:ascii="宋体" w:hAnsi="宋体" w:eastAsia="宋体"/>
          <w:b w:val="0"/>
          <w:sz w:val="24"/>
        </w:rPr>
        <w:t>5. 三张表联动：利润表变动在资产负债表和现金流量表中找到对应（如成本与存货、利润与经营现金流）。</w:t>
      </w:r>
    </w:p>
    <w:p>
      <w:pPr>
        <w:spacing w:line="360" w:lineRule="auto" w:after="120"/>
        <w:ind w:firstLine="480"/>
      </w:pPr>
      <w:r>
        <w:rPr>
          <w:rFonts w:ascii="宋体" w:hAnsi="宋体" w:eastAsia="宋体"/>
          <w:b w:val="0"/>
          <w:sz w:val="24"/>
        </w:rPr>
        <w:t>6. 六大循环配平：投资筹资、采购付款、生产存货、销售收款、人力资源、货币资金循环均做局部检查。</w:t>
      </w:r>
    </w:p>
    <w:p>
      <w:pPr>
        <w:pStyle w:val="Heading2"/>
        <w:spacing w:before="240" w:after="120" w:line="360" w:lineRule="auto"/>
      </w:pPr>
      <w:r>
        <w:rPr>
          <w:rFonts w:ascii="黑体" w:hAnsi="黑体" w:eastAsia="黑体"/>
          <w:b/>
          <w:sz w:val="28"/>
        </w:rPr>
        <w:t>A.3 数据来源</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0"/>
              </w:rPr>
              <w:t>数据来源</w:t>
            </w:r>
          </w:p>
        </w:tc>
        <w:tc>
          <w:tcPr>
            <w:tcW w:type="dxa" w:w="2880"/>
          </w:tcPr>
          <w:p>
            <w:pPr>
              <w:jc w:val="center"/>
            </w:pPr>
            <w:r>
              <w:rPr>
                <w:rFonts w:ascii="黑体" w:hAnsi="黑体" w:eastAsia="黑体"/>
                <w:b/>
                <w:sz w:val="20"/>
              </w:rPr>
              <w:t>获取内容</w:t>
            </w:r>
          </w:p>
        </w:tc>
        <w:tc>
          <w:tcPr>
            <w:tcW w:type="dxa" w:w="2880"/>
          </w:tcPr>
          <w:p>
            <w:pPr>
              <w:jc w:val="center"/>
            </w:pPr>
            <w:r>
              <w:rPr>
                <w:rFonts w:ascii="黑体" w:hAnsi="黑体" w:eastAsia="黑体"/>
                <w:b/>
                <w:sz w:val="20"/>
              </w:rPr>
              <w:t>口径</w:t>
            </w:r>
          </w:p>
        </w:tc>
      </w:tr>
    </w:tbl>
    <w:p/>
    <w:p>
      <w:pPr>
        <w:spacing w:line="360" w:lineRule="auto" w:after="120"/>
        <w:ind w:firstLine="480"/>
      </w:pPr>
      <w:r>
        <w:rPr>
          <w:rFonts w:ascii="宋体" w:hAnsi="宋体" w:eastAsia="宋体"/>
          <w:b w:val="0"/>
          <w:sz w:val="24"/>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黑体" w:hAnsi="黑体" w:eastAsia="黑体"/>
                <w:b/>
                <w:sz w:val="20"/>
              </w:rPr>
              <w:t>公司年报/季报（A股/港股）</w:t>
            </w:r>
          </w:p>
        </w:tc>
        <w:tc>
          <w:tcPr>
            <w:tcW w:type="dxa" w:w="2880"/>
          </w:tcPr>
          <w:p>
            <w:pPr>
              <w:jc w:val="center"/>
            </w:pPr>
            <w:r>
              <w:rPr>
                <w:rFonts w:ascii="黑体" w:hAnsi="黑体" w:eastAsia="黑体"/>
                <w:b/>
                <w:sz w:val="20"/>
              </w:rPr>
              <w:t>资产负债表、利润表、现金流量表、业务数据</w:t>
            </w:r>
          </w:p>
        </w:tc>
        <w:tc>
          <w:tcPr>
            <w:tcW w:type="dxa" w:w="2880"/>
          </w:tcPr>
          <w:p>
            <w:pPr>
              <w:jc w:val="center"/>
            </w:pPr>
            <w:r>
              <w:rPr>
                <w:rFonts w:ascii="黑体" w:hAnsi="黑体" w:eastAsia="黑体"/>
                <w:b/>
                <w:sz w:val="20"/>
              </w:rPr>
              <w:t>合并报表、人民币/港元</w:t>
            </w:r>
          </w:p>
        </w:tc>
      </w:tr>
      <w:tr>
        <w:tc>
          <w:tcPr>
            <w:tcW w:type="dxa" w:w="2880"/>
          </w:tcPr>
          <w:p>
            <w:pPr>
              <w:jc w:val="right"/>
            </w:pPr>
            <w:r>
              <w:rPr>
                <w:rFonts w:ascii="宋体" w:hAnsi="宋体" w:eastAsia="宋体"/>
                <w:b w:val="0"/>
                <w:sz w:val="18"/>
              </w:rPr>
              <w:t>券商研报（国金、东吴、国信、信达、华源）</w:t>
            </w:r>
          </w:p>
        </w:tc>
        <w:tc>
          <w:tcPr>
            <w:tcW w:type="dxa" w:w="2880"/>
          </w:tcPr>
          <w:p>
            <w:pPr>
              <w:jc w:val="right"/>
            </w:pPr>
            <w:r>
              <w:rPr>
                <w:rFonts w:ascii="宋体" w:hAnsi="宋体" w:eastAsia="宋体"/>
                <w:b w:val="0"/>
                <w:sz w:val="18"/>
              </w:rPr>
              <w:t>盈利预测、行业分析、风险提示</w:t>
            </w:r>
          </w:p>
        </w:tc>
        <w:tc>
          <w:tcPr>
            <w:tcW w:type="dxa" w:w="2880"/>
          </w:tcPr>
          <w:p>
            <w:pPr>
              <w:jc w:val="right"/>
            </w:pPr>
            <w:r>
              <w:rPr>
                <w:rFonts w:ascii="宋体" w:hAnsi="宋体" w:eastAsia="宋体"/>
                <w:b w:val="0"/>
                <w:sz w:val="18"/>
              </w:rPr>
              <w:t>2026年4-7月</w:t>
            </w:r>
          </w:p>
        </w:tc>
      </w:tr>
      <w:tr>
        <w:tc>
          <w:tcPr>
            <w:tcW w:type="dxa" w:w="2880"/>
          </w:tcPr>
          <w:p>
            <w:pPr>
              <w:jc w:val="right"/>
            </w:pPr>
            <w:r>
              <w:rPr>
                <w:rFonts w:ascii="宋体" w:hAnsi="宋体" w:eastAsia="宋体"/>
                <w:b w:val="0"/>
                <w:sz w:val="18"/>
              </w:rPr>
              <w:t>公开市场数据</w:t>
            </w:r>
          </w:p>
        </w:tc>
        <w:tc>
          <w:tcPr>
            <w:tcW w:type="dxa" w:w="2880"/>
          </w:tcPr>
          <w:p>
            <w:pPr>
              <w:jc w:val="right"/>
            </w:pPr>
            <w:r>
              <w:rPr>
                <w:rFonts w:ascii="宋体" w:hAnsi="宋体" w:eastAsia="宋体"/>
                <w:b w:val="0"/>
                <w:sz w:val="18"/>
              </w:rPr>
              <w:t>布伦特原油价格、汇率、行业产能数据</w:t>
            </w:r>
          </w:p>
        </w:tc>
        <w:tc>
          <w:tcPr>
            <w:tcW w:type="dxa" w:w="2880"/>
          </w:tcPr>
          <w:p>
            <w:pPr>
              <w:jc w:val="right"/>
            </w:pPr>
            <w:r>
              <w:rPr>
                <w:rFonts w:ascii="宋体" w:hAnsi="宋体" w:eastAsia="宋体"/>
                <w:b w:val="0"/>
                <w:sz w:val="18"/>
              </w:rPr>
              <w:t>2025-2026年</w:t>
            </w:r>
          </w:p>
        </w:tc>
      </w:tr>
    </w:tbl>
    <w:p/>
    <w:p>
      <w:pPr>
        <w:spacing w:line="360" w:lineRule="auto" w:after="120"/>
        <w:ind w:firstLine="480"/>
      </w:pPr>
      <w:r>
        <w:rPr>
          <w:rFonts w:ascii="宋体" w:hAnsi="宋体" w:eastAsia="宋体"/>
          <w:b w:val="0"/>
          <w:sz w:val="24"/>
        </w:rPr>
        <w:t>【免责声明】本报告基于公开信息分析推演，不构成投资建议。股市有风险，投资需谨慎。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