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F497D"/>
          <w:sz w:val="44"/>
        </w:rPr>
        <w:t>中国海油 穿透财报分析报告</w:t>
      </w:r>
    </w:p>
    <w:p>
      <w:pPr>
        <w:jc w:val="center"/>
      </w:pPr>
      <w:r>
        <w:rPr>
          <w:rFonts w:ascii="微软雅黑" w:hAnsi="微软雅黑"/>
          <w:color w:val="595959"/>
          <w:sz w:val="28"/>
        </w:rPr>
        <w:t>叙事先行 · 三张表完整科目深度验证 · 行业背景联动分析</w:t>
      </w:r>
    </w:p>
    <w:p/>
    <w:p>
      <w:pPr>
        <w:jc w:val="center"/>
      </w:pPr>
      <w:r>
        <w:rPr>
          <w:color w:val="404040"/>
          <w:sz w:val="22"/>
        </w:rPr>
        <w:t>公司简称：中国海油</w:t>
      </w:r>
    </w:p>
    <w:p>
      <w:pPr>
        <w:jc w:val="center"/>
      </w:pPr>
      <w:r>
        <w:rPr>
          <w:color w:val="404040"/>
          <w:sz w:val="22"/>
        </w:rPr>
        <w:t>股票代码：600938.SH（A股） / 0883.HK（港股）</w:t>
      </w:r>
    </w:p>
    <w:p>
      <w:pPr>
        <w:jc w:val="center"/>
      </w:pPr>
      <w:r>
        <w:rPr>
          <w:color w:val="404040"/>
          <w:sz w:val="22"/>
        </w:rPr>
        <w:t>所属行业：石油石化</w:t>
      </w:r>
    </w:p>
    <w:p>
      <w:pPr>
        <w:jc w:val="center"/>
      </w:pPr>
      <w:r>
        <w:rPr>
          <w:color w:val="404040"/>
          <w:sz w:val="22"/>
        </w:rPr>
        <w:t>分析日期：2026年07月07日</w:t>
      </w:r>
    </w:p>
    <w:p>
      <w:pPr>
        <w:jc w:val="center"/>
      </w:pPr>
      <w:r>
        <w:rPr>
          <w:color w:val="404040"/>
          <w:sz w:val="22"/>
        </w:rPr>
        <w:t>当前股价：28.01 元</w:t>
      </w:r>
    </w:p>
    <w:p>
      <w:pPr>
        <w:jc w:val="center"/>
      </w:pPr>
      <w:r>
        <w:rPr>
          <w:color w:val="404040"/>
          <w:sz w:val="22"/>
        </w:rPr>
        <w:t>总股本：475.03 亿股</w:t>
      </w:r>
    </w:p>
    <w:p>
      <w:pPr>
        <w:jc w:val="center"/>
      </w:pPr>
      <w:r>
        <w:rPr>
          <w:color w:val="404040"/>
          <w:sz w:val="22"/>
        </w:rPr>
        <w:t>当前市值：13,305.5 亿元</w:t>
      </w:r>
    </w:p>
    <w:p>
      <w:pPr>
        <w:jc w:val="center"/>
      </w:pPr>
      <w:r>
        <w:rPr>
          <w:color w:val="404040"/>
          <w:sz w:val="22"/>
        </w:rPr>
        <w:t>分析框架：穿透叙事 + 三张表完整科目深度分析 v4.0/v5.0</w:t>
      </w:r>
    </w:p>
    <w:p>
      <w:pPr>
        <w:jc w:val="center"/>
      </w:pPr>
      <w:r>
        <w:rPr>
          <w:color w:val="404040"/>
          <w:sz w:val="22"/>
        </w:rPr>
        <w:t>数据来源：公司年报/季报、券商研报、公开市场数据</w:t>
      </w:r>
    </w:p>
    <w:p/>
    <w:p>
      <w:pPr>
        <w:jc w:val="center"/>
      </w:pPr>
      <w:r>
        <w:rPr>
          <w:i/>
          <w:color w:val="999999"/>
          <w:sz w:val="18"/>
        </w:rPr>
        <w:t>【免责声明】本报告基于公开信息分析推演，不构成投资建议。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32"/>
        </w:rPr>
        <w:t>目录</w:t>
      </w:r>
    </w:p>
    <w:p>
      <w:r>
        <w:rPr>
          <w:rFonts w:ascii="宋体" w:hAnsi="宋体" w:eastAsia="宋体"/>
          <w:sz w:val="22"/>
        </w:rPr>
        <w:t>第一部分　叙事先行——反算股价隐含预期</w:t>
      </w:r>
    </w:p>
    <w:p>
      <w:r>
        <w:rPr>
          <w:rFonts w:ascii="宋体" w:hAnsi="宋体" w:eastAsia="宋体"/>
          <w:sz w:val="22"/>
        </w:rPr>
        <w:t xml:space="preserve">　　1.1 公司概况与行业背景</w:t>
      </w:r>
    </w:p>
    <w:p>
      <w:r>
        <w:rPr>
          <w:rFonts w:ascii="宋体" w:hAnsi="宋体" w:eastAsia="宋体"/>
          <w:sz w:val="22"/>
        </w:rPr>
        <w:t xml:space="preserve">　　1.2 DCF反算隐含终局利润L</w:t>
      </w:r>
    </w:p>
    <w:p>
      <w:r>
        <w:rPr>
          <w:rFonts w:ascii="宋体" w:hAnsi="宋体" w:eastAsia="宋体"/>
          <w:sz w:val="22"/>
        </w:rPr>
        <w:t xml:space="preserve">　　1.3 叙事类型判断与产业空间对照</w:t>
      </w:r>
    </w:p>
    <w:p>
      <w:r>
        <w:rPr>
          <w:rFonts w:ascii="宋体" w:hAnsi="宋体" w:eastAsia="宋体"/>
          <w:sz w:val="22"/>
        </w:rPr>
        <w:t xml:space="preserve">　　1.4 财报验证重点</w:t>
      </w:r>
    </w:p>
    <w:p>
      <w:r>
        <w:rPr>
          <w:rFonts w:ascii="宋体" w:hAnsi="宋体" w:eastAsia="宋体"/>
          <w:sz w:val="22"/>
        </w:rPr>
        <w:t>第二部分　资产负债表深度分析</w:t>
      </w:r>
    </w:p>
    <w:p>
      <w:r>
        <w:rPr>
          <w:rFonts w:ascii="宋体" w:hAnsi="宋体" w:eastAsia="宋体"/>
          <w:sz w:val="22"/>
        </w:rPr>
        <w:t xml:space="preserve">　　2.1 流动资产深度分析</w:t>
      </w:r>
    </w:p>
    <w:p>
      <w:r>
        <w:rPr>
          <w:rFonts w:ascii="宋体" w:hAnsi="宋体" w:eastAsia="宋体"/>
          <w:sz w:val="22"/>
        </w:rPr>
        <w:t xml:space="preserve">　　2.2 非流动资产深度分析</w:t>
      </w:r>
    </w:p>
    <w:p>
      <w:r>
        <w:rPr>
          <w:rFonts w:ascii="宋体" w:hAnsi="宋体" w:eastAsia="宋体"/>
          <w:sz w:val="22"/>
        </w:rPr>
        <w:t xml:space="preserve">　　2.3 流动负债深度分析</w:t>
      </w:r>
    </w:p>
    <w:p>
      <w:r>
        <w:rPr>
          <w:rFonts w:ascii="宋体" w:hAnsi="宋体" w:eastAsia="宋体"/>
          <w:sz w:val="22"/>
        </w:rPr>
        <w:t xml:space="preserve">　　2.4 非流动负债深度分析</w:t>
      </w:r>
    </w:p>
    <w:p>
      <w:r>
        <w:rPr>
          <w:rFonts w:ascii="宋体" w:hAnsi="宋体" w:eastAsia="宋体"/>
          <w:sz w:val="22"/>
        </w:rPr>
        <w:t xml:space="preserve">　　2.5 所有者权益深度分析</w:t>
      </w:r>
    </w:p>
    <w:p>
      <w:r>
        <w:rPr>
          <w:rFonts w:ascii="宋体" w:hAnsi="宋体" w:eastAsia="宋体"/>
          <w:sz w:val="22"/>
        </w:rPr>
        <w:t>第三部分　利润表深度分析</w:t>
      </w:r>
    </w:p>
    <w:p>
      <w:r>
        <w:rPr>
          <w:rFonts w:ascii="宋体" w:hAnsi="宋体" w:eastAsia="宋体"/>
          <w:sz w:val="22"/>
        </w:rPr>
        <w:t xml:space="preserve">　　3.1 收入与成本分析</w:t>
      </w:r>
    </w:p>
    <w:p>
      <w:r>
        <w:rPr>
          <w:rFonts w:ascii="宋体" w:hAnsi="宋体" w:eastAsia="宋体"/>
          <w:sz w:val="22"/>
        </w:rPr>
        <w:t xml:space="preserve">　　3.2 期间费用分析</w:t>
      </w:r>
    </w:p>
    <w:p>
      <w:r>
        <w:rPr>
          <w:rFonts w:ascii="宋体" w:hAnsi="宋体" w:eastAsia="宋体"/>
          <w:sz w:val="22"/>
        </w:rPr>
        <w:t xml:space="preserve">　　3.3 其他收益与投资收益</w:t>
      </w:r>
    </w:p>
    <w:p>
      <w:r>
        <w:rPr>
          <w:rFonts w:ascii="宋体" w:hAnsi="宋体" w:eastAsia="宋体"/>
          <w:sz w:val="22"/>
        </w:rPr>
        <w:t xml:space="preserve">　　3.4 减值损失分析</w:t>
      </w:r>
    </w:p>
    <w:p>
      <w:r>
        <w:rPr>
          <w:rFonts w:ascii="宋体" w:hAnsi="宋体" w:eastAsia="宋体"/>
          <w:sz w:val="22"/>
        </w:rPr>
        <w:t xml:space="preserve">　　3.5 利润总额与所得税</w:t>
      </w:r>
    </w:p>
    <w:p>
      <w:r>
        <w:rPr>
          <w:rFonts w:ascii="宋体" w:hAnsi="宋体" w:eastAsia="宋体"/>
          <w:sz w:val="22"/>
        </w:rPr>
        <w:t xml:space="preserve">　　3.6 扣非净利润与EPS</w:t>
      </w:r>
    </w:p>
    <w:p>
      <w:r>
        <w:rPr>
          <w:rFonts w:ascii="宋体" w:hAnsi="宋体" w:eastAsia="宋体"/>
          <w:sz w:val="22"/>
        </w:rPr>
        <w:t>第四部分　综合结论</w:t>
      </w:r>
    </w:p>
    <w:p>
      <w:r>
        <w:rPr>
          <w:rFonts w:ascii="宋体" w:hAnsi="宋体" w:eastAsia="宋体"/>
          <w:sz w:val="22"/>
        </w:rPr>
        <w:t xml:space="preserve">　　4.1 叙事预期 vs 财报现实对比</w:t>
      </w:r>
    </w:p>
    <w:p>
      <w:r>
        <w:rPr>
          <w:rFonts w:ascii="宋体" w:hAnsi="宋体" w:eastAsia="宋体"/>
          <w:sz w:val="22"/>
        </w:rPr>
        <w:t xml:space="preserve">　　4.2 财务质量五维评估</w:t>
      </w:r>
    </w:p>
    <w:p>
      <w:r>
        <w:rPr>
          <w:rFonts w:ascii="宋体" w:hAnsi="宋体" w:eastAsia="宋体"/>
          <w:sz w:val="22"/>
        </w:rPr>
        <w:t xml:space="preserve">　　4.3 主要风险点清单</w:t>
      </w:r>
    </w:p>
    <w:p>
      <w:r>
        <w:rPr>
          <w:rFonts w:ascii="宋体" w:hAnsi="宋体" w:eastAsia="宋体"/>
          <w:sz w:val="22"/>
        </w:rPr>
        <w:t xml:space="preserve">　　4.4 预期差判断与关注信号</w:t>
      </w:r>
    </w:p>
    <w:p>
      <w:r>
        <w:rPr>
          <w:rFonts w:ascii="宋体" w:hAnsi="宋体" w:eastAsia="宋体"/>
          <w:sz w:val="22"/>
        </w:rPr>
        <w:t>附录　方法论简介与数据说明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32"/>
        </w:rPr>
        <w:t>第一部分　叙事先行——反算股价隐含预期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1.1 公司概况与行业背景</w:t>
      </w:r>
    </w:p>
    <w:p>
      <w:r>
        <w:rPr>
          <w:rFonts w:ascii="宋体" w:hAnsi="宋体" w:eastAsia="宋体"/>
          <w:b/>
          <w:sz w:val="22"/>
        </w:rPr>
        <w:t>【公司概况】</w:t>
      </w:r>
    </w:p>
    <w:p>
      <w:r>
        <w:rPr>
          <w:rFonts w:ascii="宋体" w:hAnsi="宋体" w:eastAsia="宋体"/>
          <w:b w:val="0"/>
          <w:sz w:val="22"/>
        </w:rPr>
        <w:t>中国海油（600938.SH，A股；0883.HK，港股）是中国最大的海上油气生产商，主要从事原油和天然气的勘探、开发、生产及销售业务。公司于2001年在香港联交所上市，2022年回归A股上交所主板上市。公司在国内海域拥有渤海、南海西部、南海东部和东海四大主要产油区，并在圭亚那、巴西、尼日利亚等海外区域拥有重要权益。</w:t>
      </w:r>
    </w:p>
    <w:p>
      <w:r>
        <w:rPr>
          <w:rFonts w:ascii="宋体" w:hAnsi="宋体" w:eastAsia="宋体"/>
          <w:b w:val="0"/>
          <w:sz w:val="22"/>
        </w:rPr>
        <w:t>截至2026年7月，公司A股总市值约13,305.5亿元，位列A股石油石化板块前列。</w:t>
      </w:r>
    </w:p>
    <w:p>
      <w:r>
        <w:rPr>
          <w:rFonts w:ascii="宋体" w:hAnsi="宋体" w:eastAsia="宋体"/>
          <w:b w:val="0"/>
          <w:sz w:val="22"/>
        </w:rPr>
        <w:t>2025年公司实现营业收入3982.20亿元（同比-5.30%），归母净利润1220.82亿元（同比-11.48%），ROE为15.64%。2026年一季度，公司实现营业收入1160.79亿元（同比+8.63%），归母净利润391.84亿元（同比+7.06%），在油价回升背景下业绩边际改善。</w:t>
      </w:r>
    </w:p>
    <w:p>
      <w:r>
        <w:rPr>
          <w:rFonts w:ascii="宋体" w:hAnsi="宋体" w:eastAsia="宋体"/>
          <w:b/>
          <w:sz w:val="22"/>
        </w:rPr>
        <w:t>【行业背景】</w:t>
      </w:r>
    </w:p>
    <w:p>
      <w:r>
        <w:rPr>
          <w:rFonts w:ascii="宋体" w:hAnsi="宋体" w:eastAsia="宋体"/>
          <w:b w:val="0"/>
          <w:sz w:val="22"/>
        </w:rPr>
        <w:t>中国海油所处的全球油气上游行业当前处于"高景气+高波动"周期。2025年布伦特原油均价约74.96美元/桶，同比2024年的80.76美元/桶下跌约7.2%，主要受全球需求增速放缓、OPEC+产量政策调整及地缘溢价阶段性回落影响。2026年以来，受中东地缘冲突加剧影响，布伦特油价一度回升至78-80美元/桶区间，中国海油Q1实现油价75.92美元/桶，同比+4.5%。</w:t>
      </w:r>
    </w:p>
    <w:p>
      <w:r>
        <w:rPr>
          <w:rFonts w:ascii="宋体" w:hAnsi="宋体" w:eastAsia="宋体"/>
          <w:b w:val="0"/>
          <w:sz w:val="22"/>
        </w:rPr>
        <w:t>行业竞争格局方面，全球上游资本开支仍处相对低位，供给弹性有限；国内"增储上产"政策持续推动海洋油气开发，公司产能利用率保持高位。上游成本端，公司桶油主要成本约27.9-28.4美元/桶，处于全球成本曲线左侧，具备显著竞争优势。下游需求端，中国及全球油气需求增速受能源转型和宏观经济影响放缓，但天然气需求仍具韧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公司简称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中国海油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股票代码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600938.SH / 0883.HK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一级行业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石油石化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上市年份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A股2022年 / H股2001年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当前股价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28.01元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总股本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475.03亿股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当前市值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13,305.5亿元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2025年营收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3982.20亿元（-5.30%）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2025年归母净利润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1220.82亿元（-11.48%）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2025年ROE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15.64%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2025年毛利率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51.47%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2025年净利率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30.67%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1.2 DCF反算隐含终局利润L</w:t>
      </w:r>
    </w:p>
    <w:p>
      <w:r>
        <w:rPr>
          <w:rFonts w:ascii="宋体" w:hAnsi="宋体" w:eastAsia="宋体"/>
          <w:b w:val="0"/>
          <w:sz w:val="22"/>
        </w:rPr>
        <w:t>基于DCF第一性原理，用当前市值+前3年一致预期净利润，反推股价隐含的终局利润L（天花板高度）。模型假设：前3年（t=1,2,3）直接使用一致预期E1、E2、E3；第4-10年从E3起匀速增长7年至终局利润L；第11年起L永续稳定（g=0）。折现率取8%/10%/12%三档，分别对应低协方差红利资产、默认中性、高风险/流动性折价三种情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折现率 r</w:t>
            </w:r>
          </w:p>
        </w:tc>
        <w:tc>
          <w:tcPr>
            <w:tcW w:type="dxa" w:w="188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隐含终局利润 L（亿元）</w:t>
            </w:r>
          </w:p>
        </w:tc>
        <w:tc>
          <w:tcPr>
            <w:tcW w:type="dxa" w:w="188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L/E3 倍数</w:t>
            </w:r>
          </w:p>
        </w:tc>
        <w:tc>
          <w:tcPr>
            <w:tcW w:type="dxa" w:w="188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L/E0 倍数</w:t>
            </w:r>
          </w:p>
        </w:tc>
        <w:tc>
          <w:tcPr>
            <w:tcW w:type="dxa" w:w="188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第4-10年隐含复合增速 g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sz w:val="18"/>
              </w:rPr>
              <w:t>8%（低协方差红利资产）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sz w:val="18"/>
              </w:rPr>
              <w:t>774.0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sz w:val="18"/>
              </w:rPr>
              <w:t>0.47x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sz w:val="18"/>
              </w:rPr>
              <w:t>0.63x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sz w:val="18"/>
              </w:rPr>
              <w:t>-10.2%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sz w:val="18"/>
              </w:rPr>
              <w:t>10%（默认中性）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sz w:val="18"/>
              </w:rPr>
              <w:t>1123.3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sz w:val="18"/>
              </w:rPr>
              <w:t>0.68x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sz w:val="18"/>
              </w:rPr>
              <w:t>0.92x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sz w:val="18"/>
              </w:rPr>
              <w:t>-5.3%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宋体" w:hAnsi="宋体" w:eastAsia="宋体"/>
                <w:sz w:val="18"/>
              </w:rPr>
              <w:t>12%（高风险/流动性折价）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sz w:val="18"/>
              </w:rPr>
              <w:t>1571.1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sz w:val="18"/>
              </w:rPr>
              <w:t>0.95x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sz w:val="18"/>
              </w:rPr>
              <w:t>1.29x</w:t>
            </w:r>
          </w:p>
        </w:tc>
        <w:tc>
          <w:tcPr>
            <w:tcW w:type="dxa" w:w="1881"/>
          </w:tcPr>
          <w:p>
            <w:r/>
            <w:r>
              <w:rPr>
                <w:rFonts w:ascii="宋体" w:hAnsi="宋体" w:eastAsia="宋体"/>
                <w:sz w:val="18"/>
              </w:rPr>
              <w:t>-0.7%</w:t>
            </w:r>
          </w:p>
        </w:tc>
      </w:tr>
    </w:tbl>
    <w:p>
      <w:r>
        <w:rPr>
          <w:rFonts w:ascii="宋体" w:hAnsi="宋体" w:eastAsia="宋体"/>
          <w:b w:val="0"/>
          <w:color w:val="595959"/>
          <w:sz w:val="18"/>
        </w:rPr>
        <w:t>图1-1：DCF 敏感性分析——不同折现率对应的隐含终局利润 L</w:t>
      </w:r>
    </w:p>
    <w:p>
      <w:r>
        <w:drawing>
          <wp:inline xmlns:a="http://schemas.openxmlformats.org/drawingml/2006/main" xmlns:pic="http://schemas.openxmlformats.org/drawingml/2006/picture">
            <wp:extent cx="5029200" cy="27963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f_sensi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1.3 叙事类型判断与产业空间对照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L/E3 倍数</w:t>
            </w:r>
          </w:p>
        </w:tc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叙事类型</w:t>
            </w:r>
          </w:p>
        </w:tc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市场预期</w:t>
            </w:r>
          </w:p>
        </w:tc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透支风险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&lt;0.5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深度下滑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极度悲观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低（已充分定价）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0.5-1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下滑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悲观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1-2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温和增长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中性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2-5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较高增长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乐观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5-10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高增长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饱满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&gt;10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极高增长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透支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极高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根据中性折现率r=10%的反算结果，中国海油当前隐含终局利润L约为1123.3亿元，L/E3=0.68，L/E0=0.92，属于'下滑叙事'区间。这意味着当前股价并未定价未来盈利持续增长，而是隐含对远期油价或产量增长可持续性的担忧。</w:t>
      </w:r>
    </w:p>
    <w:p>
      <w:r>
        <w:rPr>
          <w:rFonts w:ascii="宋体" w:hAnsi="宋体" w:eastAsia="宋体"/>
          <w:b w:val="0"/>
          <w:sz w:val="22"/>
        </w:rPr>
        <w:t>值得注意的是，公司2025年实际归母净利润1220.82亿元，2028年一致预期1645.57亿元，但当前市值对应的永续利润仅1123.3亿元，显著低于E3，反映市场对2030年代后油气价格中枢下移、能源转型加速的高度谨慎。</w:t>
      </w:r>
    </w:p>
    <w:p>
      <w:r>
        <w:rPr>
          <w:rFonts w:ascii="宋体" w:hAnsi="宋体" w:eastAsia="宋体"/>
          <w:b w:val="0"/>
          <w:sz w:val="22"/>
        </w:rPr>
        <w:t>从产业空间看，中国海油具备持续'增储上产'的资源基础，2026年规划油气产量780-800百万桶油当量，中长期看国内海洋油气开发仍具空间。然而，DCF反算L/E3&lt;1表明，即便中期利润维持在1400-1600亿元平台，市场也只愿意给远期利润以保守定价。结合当前A股动态PE约8.3倍、H股PE更低，判断估值与'周期高股息'叙事匹配，而非'高成长'叙事。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1.4 财报验证重点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验证维度</w:t>
            </w:r>
          </w:p>
        </w:tc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关键科目</w:t>
            </w:r>
          </w:p>
        </w:tc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验证逻辑</w:t>
            </w:r>
          </w:p>
        </w:tc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中国海油关注点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增长可持续性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产量、实现油价、营收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产量增长+油价中枢决定收入增速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2026Q1产量同比+8.6%，实现油价75.92美元/桶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收入质量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经营现金流/净利润、应收周转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利润是否有现金支撑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2025经营CF/净利润≈1.71，收现质量优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再投资效率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资本开支、自由现金流、CIP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高资本开支是否转化为产量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2025自由现金流217.5亿，CIP 1509亿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现金流质量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经营现金流、分红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现金流是否稳定、分红可持续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2025经营CF 2090亿，分红率45%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产业链地位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应付账款、营运资本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上游对油服、设备商议价能力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应付账款596亿，现金循环周期-70天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32"/>
        </w:rPr>
        <w:t>第二部分　资产负债表深度分析（完整科目 + 逐项变动分析）</w:t>
      </w:r>
    </w:p>
    <w:p>
      <w:r>
        <w:rPr>
          <w:rFonts w:ascii="宋体" w:hAnsi="宋体" w:eastAsia="宋体"/>
          <w:b w:val="0"/>
          <w:sz w:val="22"/>
        </w:rPr>
        <w:t>本部分对中国海油2024年末、2025年末、2026年一季度末三个时点的资产负债表，按主要科目逐项列示。2025年末较2024年末列示净增加值及增长率，2026年一季度末较2025年末列示净增加值及增长率。变动&gt;20%的科目已在表格中标注。因公开数据源仅提供合并报表主要科目，部分明细科目基于年报附注及行业常识进行拆分列示。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2.1 流动资产深度分析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科目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2024-12-31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2025-12-31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净增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增长率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2026-03-31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净增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增长率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货币资金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1,541.96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2,146.95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604.99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+39.2%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2,463.35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316.40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+14.7%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交易性金融资产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衍生金融资产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应收票据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应收账款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329.18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324.15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-5.03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-1.5%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551.40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227.25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+70.2%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应收款项融资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预付款项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其他应收款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存货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57.32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60.90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3.58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+6.2%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55.45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-5.45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-9.0%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合同资产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一年内到期的非流动资产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其他流动资产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流动资产合计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2,646.09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2,953.83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307.74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+11.6%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3,429.32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475.49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+16.1%</w:t>
            </w:r>
          </w:p>
        </w:tc>
      </w:tr>
    </w:tbl>
    <w:p>
      <w:r>
        <w:rPr>
          <w:rFonts w:ascii="宋体" w:hAnsi="宋体" w:eastAsia="宋体"/>
          <w:b w:val="0"/>
          <w:color w:val="999999"/>
          <w:sz w:val="18"/>
        </w:rPr>
        <w:t>注：变动&gt;20%标红。'—'表示未单独披露或金额较小。单位：亿元。</w:t>
      </w:r>
    </w:p>
    <w:p>
      <w:r>
        <w:rPr>
          <w:rFonts w:ascii="宋体" w:hAnsi="宋体" w:eastAsia="宋体"/>
          <w:b/>
          <w:sz w:val="22"/>
        </w:rPr>
        <w:t>【流动资产分析】</w:t>
      </w:r>
    </w:p>
    <w:p>
      <w:r>
        <w:rPr>
          <w:rFonts w:ascii="宋体" w:hAnsi="宋体" w:eastAsia="宋体"/>
          <w:b w:val="0"/>
          <w:sz w:val="22"/>
        </w:rPr>
        <w:t>① 货币资金：从2024年末的1,541.96亿元增至2025年末的2,146.95亿元（+39.2%），2026年一季度末进一步增至2,463.35亿元（+14.7%）。变动原因：2025年布伦特油价同比下跌7.2%，但公司经营活动现金流仍保持2,090亿元强劲流入，同时资本开支同比下降9%至1,205亿元，导致自由现金流宽裕，货币资金大幅积累。</w:t>
      </w:r>
    </w:p>
    <w:p>
      <w:r>
        <w:rPr>
          <w:rFonts w:ascii="宋体" w:hAnsi="宋体" w:eastAsia="宋体"/>
          <w:b w:val="0"/>
          <w:sz w:val="22"/>
        </w:rPr>
        <w:t>行业背景看，油气上游属于强现金流行业，公司在周期底部仍能积累现金，体现成本优势。财务质量影响：充裕的货币资金增强抗周期能力，但也需关注是否用于低效理财或过度分红，而非勘探开发再投资。</w:t>
      </w:r>
    </w:p>
    <w:p>
      <w:r>
        <w:rPr>
          <w:rFonts w:ascii="宋体" w:hAnsi="宋体" w:eastAsia="宋体"/>
          <w:b w:val="0"/>
          <w:sz w:val="22"/>
        </w:rPr>
        <w:t>② 应收账款：从2024年末的329.18亿元小幅降至2025年末的324.15亿元（-1.5%），但2026年一季度末大幅增至551.40亿元（+70.2%）。变动原因：一季度末应收增加主要与季度销售节奏、油气收入确认时点和海外客户账期有关。2025年应收账款周转天数约29.5天，处于行业较低水平，说明公司销售回款整体较快。</w:t>
      </w:r>
    </w:p>
    <w:p>
      <w:r>
        <w:rPr>
          <w:rFonts w:ascii="宋体" w:hAnsi="宋体" w:eastAsia="宋体"/>
          <w:b w:val="0"/>
          <w:sz w:val="22"/>
        </w:rPr>
        <w:t>财务质量影响：一季度末应收激增需关注是否为季节性因素，若后续持续扩大则需警惕收入质量；但绝对额相对营收规模较小，风险可控。</w:t>
      </w:r>
    </w:p>
    <w:p>
      <w:r>
        <w:rPr>
          <w:rFonts w:ascii="宋体" w:hAnsi="宋体" w:eastAsia="宋体"/>
          <w:b w:val="0"/>
          <w:sz w:val="22"/>
        </w:rPr>
        <w:t>③ 存货：从2024年末的57.32亿元增至2025年末的60.90亿元（+6.2%），2026年一季度末回落至55.45亿元（-9.0%）。变动原因：油气存货主要为原油、成品油及物资，规模相对公司总资产很小（&lt;0.6%），波动主要受生产调度和库存周转影响。2025年存货周转天数约11天，效率极高。财务质量影响：存货不存在滞销或减值压力，符合油气行业'即产即销'特征。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2.2 非流动资产深度分析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科目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2024-12-31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2025-12-31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净增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增长率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2026-03-31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净增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增长率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长期股权投资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其他权益工具投资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其他非流动金融资产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投资性房地产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固定资产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67.39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65.52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-1.87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-2.8%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64.14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-1.38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-2.1%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在建工程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1,572.78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1,509.13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-63.65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-4.0%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1,565.88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56.75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+3.8%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使用权资产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无形资产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37.62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36.83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-0.79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-2.1%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35.22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-1.61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-4.4%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商誉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长期待摊费用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递延所得税资产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其他非流动资产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非流动资产合计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7,916.72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8,031.76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115.04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+1.5%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8,086.31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54.55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+0.7%</w:t>
            </w:r>
          </w:p>
        </w:tc>
      </w:tr>
    </w:tbl>
    <w:p>
      <w:r>
        <w:rPr>
          <w:rFonts w:ascii="宋体" w:hAnsi="宋体" w:eastAsia="宋体"/>
          <w:b w:val="0"/>
          <w:color w:val="999999"/>
          <w:sz w:val="18"/>
        </w:rPr>
        <w:t>注：变动&gt;20%标红。'—'表示未单独披露或金额较小。单位：亿元。</w:t>
      </w:r>
    </w:p>
    <w:p>
      <w:r>
        <w:rPr>
          <w:rFonts w:ascii="宋体" w:hAnsi="宋体" w:eastAsia="宋体"/>
          <w:b/>
          <w:sz w:val="22"/>
        </w:rPr>
        <w:t>【非流动资产分析】</w:t>
      </w:r>
    </w:p>
    <w:p>
      <w:r>
        <w:rPr>
          <w:rFonts w:ascii="宋体" w:hAnsi="宋体" w:eastAsia="宋体"/>
          <w:b w:val="0"/>
          <w:sz w:val="22"/>
        </w:rPr>
        <w:t>① 固定资产：从2024年末的67.39亿元降至2025年末的65.52亿元（-2.8%），2026年一季度末进一步降至64.14亿元（-2.1%）。变动原因：油气公司固定资产主要为地面设施、平台等，规模相对较小；公司采用'成果法'会计核算，大量勘探开发支出计入油气资产而非固定资产。固定资产减少主要是折旧摊销所致。财务质量影响：固定资产规模小，折旧压力轻，但需注意油气资产折旧与产量递耗的匹配。</w:t>
      </w:r>
    </w:p>
    <w:p>
      <w:r>
        <w:rPr>
          <w:rFonts w:ascii="宋体" w:hAnsi="宋体" w:eastAsia="宋体"/>
          <w:b w:val="0"/>
          <w:sz w:val="22"/>
        </w:rPr>
        <w:t>② 在建工程：从2024年末的1,572.78亿元降至2025年末的1,509.13亿元（-4.0%），2026年一季度末回升至1,565.88亿元（+3.8%）。变动原因：2025年多个项目转产（如垦利10-2、圭亚那Yellowtail等），在建工程结转；2026年一季度随着新项目建设提速，资本开支同比增长19.1%，在建工程回升。</w:t>
      </w:r>
    </w:p>
    <w:p>
      <w:r>
        <w:rPr>
          <w:rFonts w:ascii="宋体" w:hAnsi="宋体" w:eastAsia="宋体"/>
          <w:b w:val="0"/>
          <w:sz w:val="22"/>
        </w:rPr>
        <w:t>行业背景看，公司处于增储上产周期，2026年资本开支预算1,120-1,220亿元维持高位。财务质量影响：在建工程规模较大反映未来产能储备充足，但需关注转固节奏和投产效率。</w:t>
      </w:r>
    </w:p>
    <w:p>
      <w:r>
        <w:rPr>
          <w:rFonts w:ascii="宋体" w:hAnsi="宋体" w:eastAsia="宋体"/>
          <w:b w:val="0"/>
          <w:sz w:val="22"/>
        </w:rPr>
        <w:t>③ 无形资产：从2024年末的37.62亿元降至2025年末的36.83亿元（-2.1%），2026年一季度末降至35.22亿元（-4.4%）。变动原因：主要为土地使用权、软件等，按年限摊销，减少系正常摊销。财务质量影响：无形资产规模小，不构成主要资产风险。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2.3 流动负债深度分析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科目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2024-12-31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2025-12-31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净增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增长率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2026-03-31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净增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增长率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短期借款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衍生金融负债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应付票据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应付账款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596.85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596.31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-0.54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-0.1%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680.69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84.38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+14.1%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合同负债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应付职工薪酬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应交税费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其他应付款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一年内到期的非流动负债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其他流动负债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流动负债合计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1,188.75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912.53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-276.22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-23.2%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1,083.07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170.54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+18.7%</w:t>
            </w:r>
          </w:p>
        </w:tc>
      </w:tr>
    </w:tbl>
    <w:p>
      <w:r>
        <w:rPr>
          <w:rFonts w:ascii="宋体" w:hAnsi="宋体" w:eastAsia="宋体"/>
          <w:b w:val="0"/>
          <w:color w:val="999999"/>
          <w:sz w:val="18"/>
        </w:rPr>
        <w:t>注：变动&gt;20%标红。'—'表示未单独披露或金额较小。单位：亿元。</w:t>
      </w:r>
    </w:p>
    <w:p>
      <w:r>
        <w:rPr>
          <w:rFonts w:ascii="宋体" w:hAnsi="宋体" w:eastAsia="宋体"/>
          <w:b/>
          <w:sz w:val="22"/>
        </w:rPr>
        <w:t>【流动负债分析】</w:t>
      </w:r>
    </w:p>
    <w:p>
      <w:r>
        <w:rPr>
          <w:rFonts w:ascii="宋体" w:hAnsi="宋体" w:eastAsia="宋体"/>
          <w:b w:val="0"/>
          <w:sz w:val="22"/>
        </w:rPr>
        <w:t>① 应付账款：从2024年末的596.85亿元基本持平至2025年末的596.31亿元（-0.1%），2026年一季度末增至680.69亿元（+14.1%）。变动原因：一季度应付增加与资本开支节奏加快、油服和设备采购增加相关。公司应付账款周转天数约111天，显著高于应收账款周转天数，反映公司对上游油服、供应商具备较强议价能力。</w:t>
      </w:r>
    </w:p>
    <w:p>
      <w:r>
        <w:rPr>
          <w:rFonts w:ascii="宋体" w:hAnsi="宋体" w:eastAsia="宋体"/>
          <w:b w:val="0"/>
          <w:sz w:val="22"/>
        </w:rPr>
        <w:t>财务质量影响：应付账款增加属正常经营占款，无需担忧；但需关注是否伴随现金流出压力。</w:t>
      </w:r>
    </w:p>
    <w:p>
      <w:r>
        <w:rPr>
          <w:rFonts w:ascii="宋体" w:hAnsi="宋体" w:eastAsia="宋体"/>
          <w:b w:val="0"/>
          <w:sz w:val="22"/>
        </w:rPr>
        <w:t>② 流动负债合计：从2024年末的1,188.75亿元降至2025年末的912.53亿元（-23.2%），2026年一季度末回升至1,083.07亿元（+18.7%）。2025年大幅下降主要因一年内到期的非流动负债、应交税费等减少，体现公司债务结构优化。一季度回升具有季节性。财务质量影响：流动负债下降改善流动比率（2025年末约3.24），短期偿债压力小。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2.4 非流动负债深度分析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科目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2024-12-31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2025-12-31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净增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增长率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2026-03-31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净增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增长率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长期借款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57.86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51.02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-6.84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-11.8%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47.70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-3.32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-6.5%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应付债券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租赁负债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长期应付款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预计负债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递延收益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递延所得税负债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125.21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135.89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10.68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+8.5%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146.19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10.30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+7.6%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其他非流动负债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非流动负债合计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1,880.70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2,025.22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144.52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+7.7%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2,036.80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11.58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+0.6%</w:t>
            </w:r>
          </w:p>
        </w:tc>
      </w:tr>
    </w:tbl>
    <w:p>
      <w:r>
        <w:rPr>
          <w:rFonts w:ascii="宋体" w:hAnsi="宋体" w:eastAsia="宋体"/>
          <w:b w:val="0"/>
          <w:color w:val="999999"/>
          <w:sz w:val="18"/>
        </w:rPr>
        <w:t>注：变动&gt;20%标红。'—'表示未单独披露或金额较小。单位：亿元。</w:t>
      </w:r>
    </w:p>
    <w:p>
      <w:r>
        <w:rPr>
          <w:rFonts w:ascii="宋体" w:hAnsi="宋体" w:eastAsia="宋体"/>
          <w:b/>
          <w:sz w:val="22"/>
        </w:rPr>
        <w:t>【非流动负债分析】</w:t>
      </w:r>
    </w:p>
    <w:p>
      <w:r>
        <w:rPr>
          <w:rFonts w:ascii="宋体" w:hAnsi="宋体" w:eastAsia="宋体"/>
          <w:b w:val="0"/>
          <w:sz w:val="22"/>
        </w:rPr>
        <w:t>① 长期借款：从2024年末的57.86亿元降至2025年末的51.02亿元（-11.8%），2026年一季度末进一步降至47.70亿元（-6.5%）。变动原因：公司持续偿还到期长期借款，同时依靠强劲经营现金流支持资本开支，降低外部融资依赖。财务质量影响：长期借款规模小且持续下降，财务杠杆风险极低，符合公司低负债、高分红的财务特征。</w:t>
      </w:r>
    </w:p>
    <w:p>
      <w:r>
        <w:rPr>
          <w:rFonts w:ascii="宋体" w:hAnsi="宋体" w:eastAsia="宋体"/>
          <w:b w:val="0"/>
          <w:sz w:val="22"/>
        </w:rPr>
        <w:t>② 递延所得税负债：从2024年末的125.21亿元增至2025年末的135.89亿元（+8.5%），2026年一季度末增至146.19亿元（+7.6%）。变动原因：主要源于油气资产折旧、折耗差异等产生的应纳税暂时性差异。财务质量影响：递延所得税负债增长反映会计折旧与税务折旧差异，属正常税务安排，未来随着产量递减将逐步转回。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2.5 所有者权益深度分析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科目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2024-12-31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2025-12-31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净增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增长率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2026-03-31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净增</w:t>
            </w:r>
          </w:p>
        </w:tc>
        <w:tc>
          <w:tcPr>
            <w:tcW w:type="dxa" w:w="1176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增长率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实收资本（股本）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475.67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475.67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0.0%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475.67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0.0%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资本公积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28.51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28.51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0.0%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28.51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0.0%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减：库存股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其他综合收益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专项储备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盈余公积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未分配利润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6,246.17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6,517.52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271.35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+4.3%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6,859.30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341.78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+5.2%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归母所有者权益合计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7,494.36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8,051.84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557.48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+7.4%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8,395.76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343.92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+4.3%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少数股东权益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18.88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24.34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5.46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+28.9%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24.74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0.40</w:t>
            </w:r>
          </w:p>
        </w:tc>
        <w:tc>
          <w:tcPr>
            <w:tcW w:type="dxa" w:w="1176"/>
          </w:tcPr>
          <w:p>
            <w:r/>
            <w:r>
              <w:rPr>
                <w:rFonts w:ascii="宋体" w:hAnsi="宋体" w:eastAsia="宋体"/>
                <w:sz w:val="18"/>
              </w:rPr>
              <w:t>+1.6%</w:t>
            </w:r>
          </w:p>
        </w:tc>
      </w:tr>
    </w:tbl>
    <w:p>
      <w:r>
        <w:rPr>
          <w:rFonts w:ascii="宋体" w:hAnsi="宋体" w:eastAsia="宋体"/>
          <w:b w:val="0"/>
          <w:color w:val="999999"/>
          <w:sz w:val="18"/>
        </w:rPr>
        <w:t>注：变动&gt;20%标红。'—'表示未单独披露或金额较小。单位：亿元。</w:t>
      </w:r>
    </w:p>
    <w:p>
      <w:r>
        <w:rPr>
          <w:rFonts w:ascii="宋体" w:hAnsi="宋体" w:eastAsia="宋体"/>
          <w:b/>
          <w:sz w:val="22"/>
        </w:rPr>
        <w:t>【所有者权益分析】</w:t>
      </w:r>
    </w:p>
    <w:p>
      <w:r>
        <w:rPr>
          <w:rFonts w:ascii="宋体" w:hAnsi="宋体" w:eastAsia="宋体"/>
          <w:b w:val="0"/>
          <w:sz w:val="22"/>
        </w:rPr>
        <w:t>① 未分配利润：从2024年末的6,246.17亿元增至2025年末的6,517.52亿元（+4.3%），2026年一季度末进一步增至6,859.30亿元（+5.2%）。变动原因：2025年归母净利润1,220.82亿元，扣除分红约550亿元后留存约670亿元，但汇率变动、其他综合收益等因素使未分配利润增幅低于净利润。</w:t>
      </w:r>
    </w:p>
    <w:p>
      <w:r>
        <w:rPr>
          <w:rFonts w:ascii="宋体" w:hAnsi="宋体" w:eastAsia="宋体"/>
          <w:b w:val="0"/>
          <w:sz w:val="22"/>
        </w:rPr>
        <w:t>财务质量影响：未分配利润持续积累，为高分红提供充足基础；但增速慢于净利润需关注分红力度和其他综合收益影响。</w:t>
      </w:r>
    </w:p>
    <w:p>
      <w:r>
        <w:rPr>
          <w:rFonts w:ascii="宋体" w:hAnsi="宋体" w:eastAsia="宋体"/>
          <w:b w:val="0"/>
          <w:sz w:val="22"/>
        </w:rPr>
        <w:t>② 少数股东权益：从2024年末的18.88亿元增至2025年末的24.34亿元（+28.9%），主要因海外子公司引入战略投资者或合资项目增资。财务质量影响：少数股东权益占比小，对归母净利润影响有限。</w:t>
      </w:r>
    </w:p>
    <w:p>
      <w:r>
        <w:rPr>
          <w:rFonts w:ascii="宋体" w:hAnsi="宋体" w:eastAsia="宋体"/>
          <w:b w:val="0"/>
          <w:sz w:val="22"/>
        </w:rPr>
        <w:t>③ 资产负债率与带息负债：公司资产负债率从2024年末的29.05%降至2025年末的26.71%，2026年一季度末为27.09%，处于行业极低水平。带息负债（长期借款为主）占总资产比例不足0.5%，财务杠杆健康度优秀。</w:t>
      </w:r>
    </w:p>
    <w:p>
      <w:r>
        <w:rPr>
          <w:rFonts w:ascii="宋体" w:hAnsi="宋体" w:eastAsia="宋体"/>
          <w:b w:val="0"/>
          <w:color w:val="595959"/>
          <w:sz w:val="18"/>
        </w:rPr>
        <w:t>图2-1：中国海油关键资产负债科目对比（2024-12-31 vs 2025-12-31）</w:t>
      </w:r>
    </w:p>
    <w:p>
      <w:r>
        <w:drawing>
          <wp:inline xmlns:a="http://schemas.openxmlformats.org/drawingml/2006/main" xmlns:pic="http://schemas.openxmlformats.org/drawingml/2006/picture">
            <wp:extent cx="5029200" cy="2480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s_key_ite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32"/>
        </w:rPr>
        <w:t>第三部分　利润表深度分析（完整科目 + 逐项变动分析）</w:t>
      </w:r>
    </w:p>
    <w:p>
      <w:r>
        <w:rPr>
          <w:rFonts w:ascii="宋体" w:hAnsi="宋体" w:eastAsia="宋体"/>
          <w:b w:val="0"/>
          <w:sz w:val="22"/>
        </w:rPr>
        <w:t>本部分对中国海油2024年、2025年年度及2026年一季度（单季度）利润表，按主要科目逐项列示。2025年较2024年列示净增额和增长率；2026年一季度为单季度数据，列示同比变化率。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科目</w:t>
            </w:r>
          </w:p>
        </w:tc>
        <w:tc>
          <w:tcPr>
            <w:tcW w:type="dxa" w:w="1344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2024年</w:t>
            </w:r>
          </w:p>
        </w:tc>
        <w:tc>
          <w:tcPr>
            <w:tcW w:type="dxa" w:w="1344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2025年</w:t>
            </w:r>
          </w:p>
        </w:tc>
        <w:tc>
          <w:tcPr>
            <w:tcW w:type="dxa" w:w="1344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净增(本vs上)</w:t>
            </w:r>
          </w:p>
        </w:tc>
        <w:tc>
          <w:tcPr>
            <w:tcW w:type="dxa" w:w="1344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增长率</w:t>
            </w:r>
          </w:p>
        </w:tc>
        <w:tc>
          <w:tcPr>
            <w:tcW w:type="dxa" w:w="1344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2026Q1单季度</w:t>
            </w:r>
          </w:p>
        </w:tc>
        <w:tc>
          <w:tcPr>
            <w:tcW w:type="dxa" w:w="1344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同比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一、营业总收入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4,205.06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3,982.20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-222.86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-5.30%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1,160.79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+8.63%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 xml:space="preserve">  其中：营业收入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4,205.06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3,982.20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-222.86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-5.30%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1,160.79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+8.63%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二、营业总成本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2,302.89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2,291.06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-11.83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-0.51%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722.73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+7.18%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 xml:space="preserve">  其中：营业成本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2,305.57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2,256.32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-49.25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-2.14%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641.30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+7.90%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 xml:space="preserve">  税金及附加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202.76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181.94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-20.82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-10.27%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54.30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+7.02%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 xml:space="preserve">  销售费用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35.32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39.26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3.94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+11.15%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1.24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-87.48%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 xml:space="preserve">  管理费用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72.13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77.69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5.56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+7.71%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16.93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+4.27%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 xml:space="preserve">  研发费用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17.11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16.59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-0.52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-3.04%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3.06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-8.93%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 xml:space="preserve">  财务费用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28.32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8.23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-20.09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-70.94%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-1.00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三、营业利润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1,899.64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1,691.13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-208.51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-10.98%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523.50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-0.48%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四、利润总额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1,899.76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1,690.13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-209.63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-11.03%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523.00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-0.49%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减：所得税费用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519.94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468.31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-51.63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-9.93%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132.00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+3.04%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五、净利润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1,379.82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1,221.48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-158.34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-11.45%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391.84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-1.37%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 xml:space="preserve">  少数股东损益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0.46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0.66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0.20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+43.48%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0.04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六、归母净利润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1,379.36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1,220.82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-158.54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-11.48%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391.84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-1.35%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 xml:space="preserve">  基本每股收益（元）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2.90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2.57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-0.33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-11.38%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0.82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18"/>
              </w:rPr>
              <w:t>-2.38%</w:t>
            </w:r>
          </w:p>
        </w:tc>
      </w:tr>
    </w:tbl>
    <w:p>
      <w:r>
        <w:rPr>
          <w:rFonts w:ascii="宋体" w:hAnsi="宋体" w:eastAsia="宋体"/>
          <w:b w:val="0"/>
          <w:color w:val="999999"/>
          <w:sz w:val="18"/>
        </w:rPr>
        <w:t>注：2026Q1为单季度数据，同比为相较2025Q1的变化率。财务费用2026Q1为负值（净利息收入），同比变化不具参考意义。单位：亿元（每股收益为元）。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3.1 收入与成本分析</w:t>
      </w:r>
    </w:p>
    <w:p>
      <w:r>
        <w:rPr>
          <w:rFonts w:ascii="宋体" w:hAnsi="宋体" w:eastAsia="宋体"/>
          <w:b w:val="0"/>
          <w:sz w:val="22"/>
        </w:rPr>
        <w:t>① 营业总收入：2025年实现营业收入3982.20亿元（同比-5.30%），2026年一季度实现营业收入1160.79亿元（同比+8.63%）。2025年收入下滑主要受油价下跌影响：布伦特原油均价从2024年的80.76美元/桶降至74.96美元/桶（-7.2%），虽然公司油气产量同比增长7.0%至7.77亿桶油当量，但价格下跌仍拖累收入。</w:t>
      </w:r>
    </w:p>
    <w:p>
      <w:r>
        <w:rPr>
          <w:rFonts w:ascii="宋体" w:hAnsi="宋体" w:eastAsia="宋体"/>
          <w:b w:val="0"/>
          <w:sz w:val="22"/>
        </w:rPr>
        <w:t>2026年一季度收入回升得益于油价反弹（实现油价75.92美元/桶，同比+4.5%）和产量增长8.6%。</w:t>
      </w:r>
    </w:p>
    <w:p>
      <w:r>
        <w:rPr>
          <w:rFonts w:ascii="宋体" w:hAnsi="宋体" w:eastAsia="宋体"/>
          <w:b w:val="0"/>
          <w:sz w:val="22"/>
        </w:rPr>
        <w:t>② 营业成本与毛利率：2025年营业成本2256.32亿元（同比-2.14%），降幅小于收入降幅，导致毛利率从2024年的53.63%降至51.47%。2026年一季度毛利率为51.17%，环比平稳。成本端，公司桶油主要成本2025年为27.90美元/桶（同比-0.62美元/桶），作业费用7.46美元/桶（同比-0.15美元/桶），成本优势进一步巩固。毛利率下降主因是油价下跌幅度大于成本下降幅度。</w:t>
      </w:r>
    </w:p>
    <w:p>
      <w:r>
        <w:rPr>
          <w:rFonts w:ascii="宋体" w:hAnsi="宋体" w:eastAsia="宋体"/>
          <w:b w:val="0"/>
          <w:sz w:val="22"/>
        </w:rPr>
        <w:t>③ 量价拆解：2025年营收下降中，价格因素贡献约-12%（油价下跌），销量因素贡献约+7%（产量增长），综合为-5.3%。2026年一季度，价格因素贡献约+5%（油价回升），销量因素贡献约+4%（产量增长），量价齐升。这体现了公司作为成本领先型油气生产商，对油价波动具有高度敏感性，但产量增长可部分抵消价格下跌。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3.2 期间费用分析</w:t>
      </w:r>
    </w:p>
    <w:p>
      <w:r>
        <w:rPr>
          <w:rFonts w:ascii="宋体" w:hAnsi="宋体" w:eastAsia="宋体"/>
          <w:b w:val="0"/>
          <w:sz w:val="22"/>
        </w:rPr>
        <w:t>① 销售费用：2025年销售费用39.26亿元（同比+11.15%），费用率0.99%（同比+0.15个百分点）。2026年一季度销售费用1.24亿元，同比大幅下降，主要是季度间费用确认差异。油气销售费用占比较低，主要是因为产品主要通过长期合同和管道销售，渠道成本可控。</w:t>
      </w:r>
    </w:p>
    <w:p>
      <w:r>
        <w:rPr>
          <w:rFonts w:ascii="宋体" w:hAnsi="宋体" w:eastAsia="宋体"/>
          <w:b w:val="0"/>
          <w:sz w:val="22"/>
        </w:rPr>
        <w:t>② 管理费用：2025年管理费用77.69亿元（同比+7.71%），费用率1.95%（同比+0.24个百分点）。增长原因主要是人员薪酬、折旧及安全生产相关支出增加。管理费用率绝对水平较低，体现国企运营效率持续改善。</w:t>
      </w:r>
    </w:p>
    <w:p>
      <w:r>
        <w:rPr>
          <w:rFonts w:ascii="宋体" w:hAnsi="宋体" w:eastAsia="宋体"/>
          <w:b w:val="0"/>
          <w:sz w:val="22"/>
        </w:rPr>
        <w:t>③ 研发费用：2025年研发费用16.59亿元（同比-3.04%），费用率0.42%。研发投入主要用于深水、稠油等勘探开发技术。与油气行业特点一致，研发资本化比例较低，费用化处理为主。</w:t>
      </w:r>
    </w:p>
    <w:p>
      <w:r>
        <w:rPr>
          <w:rFonts w:ascii="宋体" w:hAnsi="宋体" w:eastAsia="宋体"/>
          <w:b w:val="0"/>
          <w:sz w:val="22"/>
        </w:rPr>
        <w:t>④ 财务费用：2025年财务费用8.23亿元（同比-70.94%），2026年一季度为净利息收入-1.00亿元。大幅下降主因是公司货币资金充裕、有息负债减少，利息收入增加而利息支出减少。财务费用由正转负，反映公司财务结构优化。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3.3 其他收益与投资收益</w:t>
      </w:r>
    </w:p>
    <w:p>
      <w:r>
        <w:rPr>
          <w:rFonts w:ascii="宋体" w:hAnsi="宋体" w:eastAsia="宋体"/>
          <w:b w:val="0"/>
          <w:sz w:val="22"/>
        </w:rPr>
        <w:t>① 其他收益：中国海油其他收益主要为政府补助、税收返还等，金额相对净利润较小。2025年受益于增值税留抵退税等政策，其他收益保持稳定。由于油气行业属于国家战略性产业，公司在资源获取、税收方面享有政策支持，但对政府补助依赖度低。</w:t>
      </w:r>
    </w:p>
    <w:p>
      <w:r>
        <w:rPr>
          <w:rFonts w:ascii="宋体" w:hAnsi="宋体" w:eastAsia="宋体"/>
          <w:b w:val="0"/>
          <w:sz w:val="22"/>
        </w:rPr>
        <w:t>② 投资收益：2025年对联营合营企业投资收益有所下降，主要受部分海外合资公司产量和价格波动影响。2026年一季度投资收益为负，主要与季度间确认节奏及个别项目停产检修有关。公司投资收益占净利润比例较低，不构成主要利润来源。</w:t>
      </w:r>
    </w:p>
    <w:p>
      <w:r>
        <w:rPr>
          <w:rFonts w:ascii="宋体" w:hAnsi="宋体" w:eastAsia="宋体"/>
          <w:b w:val="0"/>
          <w:sz w:val="22"/>
        </w:rPr>
        <w:t>③ 公允价值变动收益：2025年及2026年一季度，公司公允价值变动收益主要与原油期货套期保值、汇率衍生品相关。油气公司为对冲油价和汇率波动，普遍使用衍生品套保，公允价值变动计入当期损益，造成一定波动性。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3.4 减值损失分析</w:t>
      </w:r>
    </w:p>
    <w:p>
      <w:r>
        <w:rPr>
          <w:rFonts w:ascii="宋体" w:hAnsi="宋体" w:eastAsia="宋体"/>
          <w:b w:val="0"/>
          <w:sz w:val="22"/>
        </w:rPr>
        <w:t>① 资产减值损失：中国海油作为油气上游企业，资产减值主要涉及油气资产减值、固定资产减值等。2025年国际油价一度下跌，但公司桶油成本持续低于油价，油气资产未出现大规模减值。公司在年报中披露的减值测试基于油价长期假设，通常在60-70美元/桶以上，当前油价水平下减值风险可控。</w:t>
      </w:r>
    </w:p>
    <w:p>
      <w:r>
        <w:rPr>
          <w:rFonts w:ascii="宋体" w:hAnsi="宋体" w:eastAsia="宋体"/>
          <w:b w:val="0"/>
          <w:sz w:val="22"/>
        </w:rPr>
        <w:t>② 信用减值损失：公司应收账款周转快、客户质量高，信用减值损失金额较小。2025年及2026年一季度信用减值保持低位，反映销售回款质量良好。</w:t>
      </w:r>
    </w:p>
    <w:p>
      <w:r>
        <w:rPr>
          <w:rFonts w:ascii="宋体" w:hAnsi="宋体" w:eastAsia="宋体"/>
          <w:b w:val="0"/>
          <w:sz w:val="22"/>
        </w:rPr>
        <w:t>③ 整体减值判断：由于油气资产减值测试高度依赖油价假设，若未来油价中枢长期下行至50-60美元/桶以下，公司可能需要计提较大规模油气资产减值。但当前油价水平和成本优势下，减值压力有限。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3.5 利润总额与所得税</w:t>
      </w:r>
    </w:p>
    <w:p>
      <w:r>
        <w:rPr>
          <w:rFonts w:ascii="宋体" w:hAnsi="宋体" w:eastAsia="宋体"/>
          <w:b w:val="0"/>
          <w:sz w:val="22"/>
        </w:rPr>
        <w:t>① 利润总额：2025年利润总额为1690.13亿元（同比-11.03%），2026年一季度为523.00亿元（同比-0.49%）。利润结构与营业利润高度一致，说明公司利润主要来自油气主营业务，非经常性损益影响小。</w:t>
      </w:r>
    </w:p>
    <w:p>
      <w:r>
        <w:rPr>
          <w:rFonts w:ascii="宋体" w:hAnsi="宋体" w:eastAsia="宋体"/>
          <w:b w:val="0"/>
          <w:sz w:val="22"/>
        </w:rPr>
        <w:t>② 所得税费用：2025年所得税费用468.31亿元（同比-9.93%），有效税率约27.7%，略高于25%法定税率，主要因海外业务适用不同税率、部分费用不可税前扣除等。公司作为国内油气龙头，享受西部大开发、高新技术企业等税收优惠，但海外项目税收较高，综合有效税率平稳。</w:t>
      </w:r>
    </w:p>
    <w:p>
      <w:r>
        <w:rPr>
          <w:rFonts w:ascii="宋体" w:hAnsi="宋体" w:eastAsia="宋体"/>
          <w:b w:val="0"/>
          <w:sz w:val="22"/>
        </w:rPr>
        <w:t>③ 归母净利润：2025年归母净利润1220.82亿元（同比-11.48%），少数股东损益0.66亿元，占比极小。2026年一季度归母净利润391.84亿元，同比基本持平。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3.6 扣非净利润与EPS</w:t>
      </w:r>
    </w:p>
    <w:p>
      <w:r>
        <w:rPr>
          <w:rFonts w:ascii="宋体" w:hAnsi="宋体" w:eastAsia="宋体"/>
          <w:b w:val="0"/>
          <w:sz w:val="22"/>
        </w:rPr>
        <w:t>① 扣非归母净利润：2025年扣非归母净利润1,203.79亿元（同比-9.76%），扣非占比98.6%，利润质量极高。2026年一季度扣非归母净利润390.38亿元（同比+5.43%），扣非增速高于归母增速，说明非经常性损益影响减弱。</w:t>
      </w:r>
    </w:p>
    <w:p>
      <w:r>
        <w:rPr>
          <w:rFonts w:ascii="宋体" w:hAnsi="宋体" w:eastAsia="宋体"/>
          <w:b w:val="0"/>
          <w:sz w:val="22"/>
        </w:rPr>
        <w:t>② 基本EPS：2025年EPS为2.57元（同比-11.38%），2026年一季度EPS为0.82元。总股本稳定在475.67亿股，期间无增发、回购等股本变动，EPS变动与归母净利润完全同步。</w:t>
      </w:r>
    </w:p>
    <w:p>
      <w:r>
        <w:rPr>
          <w:rFonts w:ascii="宋体" w:hAnsi="宋体" w:eastAsia="宋体"/>
          <w:b w:val="0"/>
          <w:color w:val="595959"/>
          <w:sz w:val="18"/>
        </w:rPr>
        <w:t>图3-1：中国海油营业收入与归母净利润趋势</w:t>
      </w:r>
    </w:p>
    <w:p>
      <w:r>
        <w:drawing>
          <wp:inline xmlns:a="http://schemas.openxmlformats.org/drawingml/2006/main" xmlns:pic="http://schemas.openxmlformats.org/drawingml/2006/picture">
            <wp:extent cx="5029200" cy="24791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profit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9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32"/>
        </w:rPr>
        <w:t>第四部分　综合结论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4.1 叙事预期 vs 财报现实对比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叙事预期</w:t>
            </w:r>
          </w:p>
        </w:tc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财报现实</w:t>
            </w:r>
          </w:p>
        </w:tc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是否一致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增长水平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L/E3=0.68，隐含长期下滑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2025-2026年利润在1200-1600亿平台震荡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基本一致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盈利质量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下滑叙事中仍要求稳定盈利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毛利率51.5%，净利率30.7%，扣非占比98.6%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一致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现金流质量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要求高分红、强现金流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经营CF 2090亿，自由现金流217.5亿，分红率45%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一致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产业链地位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强势占款能力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应付周转天数111天，现金循环周期-70天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一致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再投资效率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担心资本开支侵蚀现金流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CIP 1509亿，2025自由现金流仍为正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部分一致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业绩可持续性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担忧远期油价和能源转型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产量持续增长，成本曲线左侧，但长期油价不确定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部分一致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4.2 财务质量五维评估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3135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  <w:tc>
          <w:tcPr>
            <w:tcW w:type="dxa" w:w="3135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盈利质量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优秀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毛利率51.47%、净利率30.67%处于全球上游领先水平，扣非占比98.6%，利润结构高度主业化。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资产质量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优秀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货币资金充裕，应收账款周转快，存货周转天数低，商誉几乎为零，油气资产减值风险可控。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现金流质量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优秀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经营现金流/净利润约1.71，自由现金流为正，分红率45%，现金流对股东回报支撑强。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产业链地位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良好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应付账款周转天数显著高于应收账款，对上游供应商具备议价能力；但客户集中度较高（央企、大型炼化）。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再投资效率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良好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资本开支维持高位以支撑产量增长，但自由现金流仍为正；需关注长期资本开支回报率是否随油价波动。</w:t>
            </w:r>
          </w:p>
        </w:tc>
      </w:tr>
    </w:tbl>
    <w:p>
      <w:r>
        <w:rPr>
          <w:rFonts w:ascii="宋体" w:hAnsi="宋体" w:eastAsia="宋体"/>
          <w:b w:val="0"/>
          <w:color w:val="595959"/>
          <w:sz w:val="18"/>
        </w:rPr>
        <w:t>图4-1：财务质量五维评估雷达图</w:t>
      </w:r>
    </w:p>
    <w:p>
      <w:r>
        <w:drawing>
          <wp:inline xmlns:a="http://schemas.openxmlformats.org/drawingml/2006/main" xmlns:pic="http://schemas.openxmlformats.org/drawingml/2006/picture">
            <wp:extent cx="4114800" cy="3929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2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4.3 主要风险点清单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风险类型</w:t>
            </w:r>
          </w:p>
        </w:tc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具体表现</w:t>
            </w:r>
          </w:p>
        </w:tc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严重程度</w:t>
            </w:r>
          </w:p>
        </w:tc>
        <w:tc>
          <w:tcPr>
            <w:tcW w:type="dxa" w:w="2351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关注信号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油价波动风险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布伦特油价下跌将直接压缩收入和利润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布伦特油价中枢、实现油价、油价对冲比例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产量增速放缓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长期资本开支转化为产量存在不确定性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中高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年度产量目标完成率、新油田投产进度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能源转型风险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长期油气需求见顶压制估值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中高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全球原油需求增速、新能源汽车渗透率、碳中和政策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海外地缘风险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海外项目受所在国政治、制裁影响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海外项目进展、东道国政策变化、汇率波动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汇率风险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人民币升值抬升桶油成本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美元兑人民币汇率、海外收入占比、汇兑损益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资本开支效率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高资本开支若油价低迷将拖累自由现金流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18"/>
              </w:rPr>
              <w:t>资本开支/折旧、自由现金流、CIP转固进度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4.4 预期差判断与关注信号</w:t>
      </w:r>
    </w:p>
    <w:p>
      <w:r>
        <w:rPr>
          <w:rFonts w:ascii="宋体" w:hAnsi="宋体" w:eastAsia="宋体"/>
          <w:b/>
          <w:sz w:val="22"/>
        </w:rPr>
        <w:t>当前预期差判断：中性偏正</w:t>
      </w:r>
    </w:p>
    <w:p>
      <w:r>
        <w:rPr>
          <w:rFonts w:ascii="宋体" w:hAnsi="宋体" w:eastAsia="宋体"/>
          <w:b w:val="0"/>
          <w:sz w:val="22"/>
        </w:rPr>
        <w:t>① 叙事层面：当前DCF反算L/E3=0.68，市场对中国海油定价为'长期下滑+高股息'周期股，未给予产量增长和成本优势以远期溢价。若油价中枢维持75-80美元/桶或进一步上行，公司利润有望稳定在1400-1600亿元平台，当前估值（PE约8.3倍）存在修复空间。</w:t>
      </w:r>
    </w:p>
    <w:p>
      <w:r>
        <w:rPr>
          <w:rFonts w:ascii="宋体" w:hAnsi="宋体" w:eastAsia="宋体"/>
          <w:b w:val="0"/>
          <w:sz w:val="22"/>
        </w:rPr>
        <w:t>② 财报层面：公司财务质量五维评估整体优秀，盈利、现金流、资产质量均处于健康状态。2025年在油价同比下跌背景下，公司通过产量增长和成本下降实现业绩韧性；2026年一季度量价齐升，业绩边际改善。</w:t>
      </w:r>
    </w:p>
    <w:p>
      <w:r>
        <w:rPr>
          <w:rFonts w:ascii="宋体" w:hAnsi="宋体" w:eastAsia="宋体"/>
          <w:b w:val="0"/>
          <w:sz w:val="22"/>
        </w:rPr>
        <w:t>③ 业绩可持续性：公司2026年规划产量780-800百万桶油当量，资本开支1,120-1,220亿元，增储上产战略明确。桶油成本处于全球成本曲线左侧，即便油价下行，公司仍具备盈利能力和现金流韧性。</w:t>
      </w:r>
    </w:p>
    <w:p>
      <w:r>
        <w:rPr>
          <w:rFonts w:ascii="宋体" w:hAnsi="宋体" w:eastAsia="宋体"/>
          <w:b w:val="0"/>
          <w:sz w:val="22"/>
        </w:rPr>
        <w:t>④ 预期差来源：正向预期差来自油价超预期上行、产量增速超预期、分红率提升；负向预期差来自油价大幅下跌、能源转型加速、资本开支效率下降。当前估值已定价较多悲观预期，安全边际较高。</w:t>
      </w:r>
    </w:p>
    <w:p>
      <w:r>
        <w:rPr>
          <w:rFonts w:ascii="宋体" w:hAnsi="宋体" w:eastAsia="宋体"/>
          <w:b w:val="0"/>
          <w:sz w:val="22"/>
        </w:rPr>
        <w:t>未来关注信号：① 季度毛利率变化；② 油气产量目标完成率；③ 合同负债/预收款变化；④ 海外收入占比；⑤ 固定资产+油气资产周转率；⑥ 布伦特油价走势；⑦ 资本开支转化为产量的效率。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32"/>
        </w:rPr>
        <w:t>附录　方法论简介与数据说明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A.1 方法论简介</w:t>
      </w:r>
    </w:p>
    <w:p>
      <w:r>
        <w:rPr>
          <w:rFonts w:ascii="宋体" w:hAnsi="宋体" w:eastAsia="宋体"/>
          <w:b w:val="0"/>
          <w:sz w:val="22"/>
        </w:rPr>
        <w:t>本报告采用'叙事先行+三张表深度验证'框架。叙事先行是指先用DCF反算当前股价隐含的终局利润L（天花板高度），判断市场预期的是什么叙事；再用三张表完整科目逐项分析，结合行业背景与公司经营情况，验证财报是否在兑现或证伪该叙事。超额收益只来自叙事变化，而非增速本身。三张表原理：利润表是'意见'，资产负债表是'存在'，现金流量表是'事实'；每个利润表科目变化都应在资产负债表和现金流量表中找到对应。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A.2 数据说明</w:t>
      </w:r>
    </w:p>
    <w:p>
      <w:r>
        <w:rPr>
          <w:rFonts w:ascii="宋体" w:hAnsi="宋体" w:eastAsia="宋体"/>
          <w:b w:val="0"/>
          <w:sz w:val="22"/>
        </w:rPr>
        <w:t>① 完整资产负债表：基于公开披露的三时点主要科目数据，部分明细科目因数据源限制未单独列示。② 完整利润表：2024-2025年度及2026年一季度主要科目，同比口径为同季对比。③ 现金流量表：2024-2025年度及2026年一季度经营、投资、筹资现金流。④ 一致预期：取国金、东吴、国信、信达、华源五家券商2026-2028年归母净利润预测均值。</w:t>
      </w:r>
    </w:p>
    <w:p>
      <w:r>
        <w:rPr>
          <w:rFonts w:ascii="宋体" w:hAnsi="宋体" w:eastAsia="宋体"/>
          <w:b w:val="0"/>
          <w:sz w:val="22"/>
        </w:rPr>
        <w:t>⑤ 汇率与单位：金额单位均为人民币亿元；油价单位为美元/桶。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8"/>
        </w:rPr>
        <w:t>A.3 数据来源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数据来源</w:t>
            </w:r>
          </w:p>
        </w:tc>
        <w:tc>
          <w:tcPr>
            <w:tcW w:type="dxa" w:w="3135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获取内容</w:t>
            </w:r>
          </w:p>
        </w:tc>
        <w:tc>
          <w:tcPr>
            <w:tcW w:type="dxa" w:w="3135"/>
            <w:shd w:fill="2E74B5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口径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公司年报/季报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合并资产负债表、利润表、现金流量表、产量成本数据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合并报表口径，人民币亿元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券商研报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2026-2028年盈利预测、产量目标、油价假设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一致预期均值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公开市场数据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A股股价、总股本、市值、财务指标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2026-07-07收盘价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行业研究报告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油价走势、行业供需、成本曲线、能源转型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8"/>
              </w:rPr>
              <w:t>公开行业数据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【免责声明】本报告基于公开信息分析推演，不构成投资建议。股市有风险，投资需谨慎。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