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line="240" w:lineRule="auto" w:before="0" w:after="0"/>
        <w:ind w:left="0"/>
        <w:jc w:val="center"/>
      </w:pPr>
      <w:r>
        <w:rPr>
          <w:rFonts w:eastAsia="宋体" w:ascii="宋体" w:hAnsi="宋体" w:cs="宋体"/>
          <w:b w:val="true"/>
          <w:i w:val="false"/>
          <w:sz w:val="48"/>
        </w:rPr>
        <w:t>分众传媒首次覆盖报告</w:t>
      </w:r>
    </w:p>
    <w:p>
      <w:pPr>
        <w:pStyle w:val="EM_H1_STYLE"/>
        <w:spacing w:line="240" w:lineRule="auto" w:before="600" w:after="120"/>
        <w:ind w:left="0"/>
        <w:jc w:val="left"/>
      </w:pPr>
      <w:r>
        <w:rPr>
          <w:rFonts w:eastAsia="宋体" w:ascii="宋体" w:hAnsi="宋体" w:cs="宋体"/>
          <w:b w:val="true"/>
          <w:i w:val="false"/>
          <w:sz w:val="36"/>
        </w:rPr>
        <w:t>1. 公司概况</w:t>
      </w:r>
    </w:p>
    <w:p>
      <w:pPr>
        <w:pStyle w:val="EM_H2_STYLE"/>
        <w:spacing w:line="240" w:lineRule="auto" w:before="120" w:after="120"/>
        <w:ind w:left="0"/>
        <w:jc w:val="left"/>
      </w:pPr>
      <w:r>
        <w:rPr>
          <w:rFonts w:eastAsia="宋体" w:ascii="宋体" w:hAnsi="宋体" w:cs="宋体"/>
          <w:b w:val="true"/>
          <w:i w:val="false"/>
          <w:sz w:val="28"/>
        </w:rPr>
        <w:t>1.1 公司简介</w:t>
      </w:r>
    </w:p>
    <w:p>
      <w:pPr>
        <w:spacing w:line="240" w:lineRule="auto" w:before="120" w:after="120"/>
        <w:ind w:firstLine="0"/>
        <w:jc w:val="left"/>
      </w:pPr>
      <w:r>
        <w:rPr>
          <w:rFonts w:eastAsia="宋体" w:ascii="Times New Roman" w:hAnsi="Times New Roman" w:cs="Times New Roman"/>
          <w:b w:val="false"/>
          <w:i w:val="false"/>
          <w:sz w:val="22"/>
        </w:rPr>
        <w:t xml:space="preserve">分众传媒信息技术股份有限公司成立于1997年，由江南春创立并担任董事长兼首席执行官，是中国生活圈媒体的开创者与行业领导者。公司于2003年创建电梯媒体广告模式，填补了都市人群碎片化时间的品牌传播空白，2005年成为首家在美国纳斯达克上市的中国广告传媒股，并于2007年入选纳斯达克100指数。2015年，公司完成私有化回归A股市场，成为首家回归A股的中概股，市值突破千亿元，被誉为"中国传媒第一股" </w:t>
      </w:r>
      <w:r>
        <w:rPr>
          <w:rFonts w:eastAsia="宋体" w:ascii="Times New Roman" w:hAnsi="Times New Roman" w:cs="Times New Roman"/>
          <w:b w:val="false"/>
          <w:i w:val="false"/>
          <w:sz w:val="22"/>
          <w:vertAlign w:val="superscript"/>
        </w:rPr>
        <w:t>[1]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核心业务聚焦于生活圈媒体的开发与运营，主要产品包括楼宇媒体（涵盖电梯电视媒体和电梯海报媒体）、影院银幕广告媒体等，覆盖城市主流消费人群的工作场景、生活场景、娱乐场景和消费场景。通过整合多元场景，分众构建了国内最大的城市生活圈媒体网络。截至2026年3月31日，其媒体网络已覆盖境内约350个城市、中国香港特别行政区，以及韩国、泰国、新加坡、印度尼西亚、马来西亚、越南、印度、日本、阿联酋和澳大利亚等国家和地区，自营媒体设备总量达228.4万台/个</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行业地位方面，分众传媒是全球最大的电梯媒体集团，长期占据国内电梯电视媒体、电梯海报媒体和影院银幕广告领域的绝对领先市场份额。2025年，公司以127.59亿元营收位居行业首位，远超第二名华媒控股的12.47亿元；净利润29.46亿元同样位列行业第一，彰显其龙头地位</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 xml:space="preserve">。近年来，公司积极推动技术革新，通过"可精准、可归因、可互动、可优化"的数智化能力升级（如"千楼千面"精准投放、NFC互动技术），显著提升服务效率，并于2026年入选《时代》杂志"亚太地区最佳企业" </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在全球化布局上，公司自2017年启动海外拓展，通过"自营+合作加盟"模式覆盖超100个国际城市。2024年海外收入占比达8.3%，其中韩国、新加坡市场已实现盈利，东南亚及中东等新兴市场持续扩张</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。同时，公司践行社会责任，成立北京分众传媒公益基金会聚焦教育扶贫与儿童救助，近三年累计捐款约7500万元，获"中国慈善榜年度慈善榜样"等荣誉</w:t>
      </w:r>
      <w:r>
        <w:rPr>
          <w:rFonts w:eastAsia="宋体" w:ascii="Times New Roman" w:hAnsi="Times New Roman" w:cs="Times New Roman"/>
          <w:b w:val="false"/>
          <w:i w:val="false"/>
          <w:sz w:val="22"/>
          <w:vertAlign w:val="superscript"/>
        </w:rPr>
        <w:t>[6]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创始人江南春作为中国生活圈媒体理念的先行者，领导公司持续引领行业变革。其提出的电梯场景"主流人群、必经、高频、低干扰"四要素，形成"高触达、高关注、高频次、高完播"的独特传播优势，被第三方研究机构凯度认证为日到达率79%、广告关注度45%，显著高于传统媒体</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分众传媒核心业务结构（2025年）</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业务板块</w:t>
            </w:r>
          </w:p>
        </w:tc>
        <w:tc>
          <w:tcPr>
            <w:tcW w:type="dxa" w:w="3060"/>
            <w:vAlign w:val="center"/>
          </w:tcPr>
          <w:p>
            <w:r>
              <w:rPr>
                <w:rFonts w:eastAsia="宋体" w:ascii="Times New Roman" w:hAnsi="Times New Roman" w:cs="Times New Roman"/>
                <w:b w:val="false"/>
                <w:i w:val="false"/>
                <w:sz w:val="22"/>
              </w:rPr>
              <w:t>收入贡献占比</w:t>
            </w:r>
          </w:p>
        </w:tc>
        <w:tc>
          <w:tcPr>
            <w:tcW w:type="dxa" w:w="3060"/>
            <w:vAlign w:val="center"/>
          </w:tcPr>
          <w:p>
            <w:r>
              <w:rPr>
                <w:rFonts w:eastAsia="宋体" w:ascii="Times New Roman" w:hAnsi="Times New Roman" w:cs="Times New Roman"/>
                <w:b w:val="false"/>
                <w:i w:val="false"/>
                <w:sz w:val="22"/>
              </w:rPr>
              <w:t>同比增长</w:t>
            </w:r>
          </w:p>
        </w:tc>
        <w:tc>
          <w:tcPr>
            <w:tcW w:type="dxa" w:w="3060"/>
            <w:vAlign w:val="center"/>
          </w:tcPr>
          <w:p>
            <w:r>
              <w:rPr>
                <w:rFonts w:eastAsia="宋体" w:ascii="Times New Roman" w:hAnsi="Times New Roman" w:cs="Times New Roman"/>
                <w:b w:val="false"/>
                <w:i w:val="false"/>
                <w:sz w:val="22"/>
              </w:rPr>
              <w:t>主要覆盖场景</w:t>
            </w:r>
          </w:p>
        </w:tc>
      </w:tr>
      <w:tr>
        <w:tc>
          <w:tcPr>
            <w:tcW w:type="dxa" w:w="3060"/>
            <w:vAlign w:val="center"/>
          </w:tcPr>
          <w:p>
            <w:r>
              <w:rPr>
                <w:rFonts w:eastAsia="宋体" w:ascii="Times New Roman" w:hAnsi="Times New Roman" w:cs="Times New Roman"/>
                <w:b w:val="false"/>
                <w:i w:val="false"/>
                <w:sz w:val="22"/>
              </w:rPr>
              <w:t>楼宇媒体</w:t>
            </w:r>
          </w:p>
        </w:tc>
        <w:tc>
          <w:tcPr>
            <w:tcW w:type="dxa" w:w="3060"/>
            <w:vAlign w:val="center"/>
          </w:tcPr>
          <w:p>
            <w:r>
              <w:rPr>
                <w:rFonts w:eastAsia="宋体" w:ascii="Times New Roman" w:hAnsi="Times New Roman" w:cs="Times New Roman"/>
                <w:b w:val="false"/>
                <w:i w:val="false"/>
                <w:sz w:val="22"/>
              </w:rPr>
              <w:t>94.32%</w:t>
            </w:r>
          </w:p>
        </w:tc>
        <w:tc>
          <w:tcPr>
            <w:tcW w:type="dxa" w:w="3060"/>
            <w:vAlign w:val="center"/>
          </w:tcPr>
          <w:p>
            <w:r>
              <w:rPr>
                <w:rFonts w:eastAsia="宋体" w:ascii="Times New Roman" w:hAnsi="Times New Roman" w:cs="Times New Roman"/>
                <w:b w:val="false"/>
                <w:i w:val="false"/>
                <w:sz w:val="22"/>
              </w:rPr>
              <w:t>+4.20%</w:t>
            </w:r>
          </w:p>
        </w:tc>
        <w:tc>
          <w:tcPr>
            <w:tcW w:type="dxa" w:w="3060"/>
            <w:vAlign w:val="center"/>
          </w:tcPr>
          <w:p>
            <w:r>
              <w:rPr>
                <w:rFonts w:eastAsia="宋体" w:ascii="Times New Roman" w:hAnsi="Times New Roman" w:cs="Times New Roman"/>
                <w:b w:val="false"/>
                <w:i w:val="false"/>
                <w:sz w:val="22"/>
              </w:rPr>
              <w:t>写字楼/社区电梯电视及海报</w:t>
            </w:r>
          </w:p>
        </w:tc>
      </w:tr>
      <w:tr>
        <w:tc>
          <w:tcPr>
            <w:tcW w:type="dxa" w:w="3060"/>
            <w:vAlign w:val="center"/>
          </w:tcPr>
          <w:p>
            <w:r>
              <w:rPr>
                <w:rFonts w:eastAsia="宋体" w:ascii="Times New Roman" w:hAnsi="Times New Roman" w:cs="Times New Roman"/>
                <w:b w:val="false"/>
                <w:i w:val="false"/>
                <w:sz w:val="22"/>
              </w:rPr>
              <w:t>影院媒体</w:t>
            </w:r>
          </w:p>
        </w:tc>
        <w:tc>
          <w:tcPr>
            <w:tcW w:type="dxa" w:w="3060"/>
            <w:vAlign w:val="center"/>
          </w:tcPr>
          <w:p>
            <w:r>
              <w:rPr>
                <w:rFonts w:eastAsia="宋体" w:ascii="Times New Roman" w:hAnsi="Times New Roman" w:cs="Times New Roman"/>
                <w:b w:val="false"/>
                <w:i w:val="false"/>
                <w:sz w:val="22"/>
              </w:rPr>
              <w:t>7.67%</w:t>
            </w:r>
          </w:p>
        </w:tc>
        <w:tc>
          <w:tcPr>
            <w:tcW w:type="dxa" w:w="3060"/>
            <w:vAlign w:val="center"/>
          </w:tcPr>
          <w:p>
            <w:r>
              <w:rPr>
                <w:rFonts w:eastAsia="宋体" w:ascii="Times New Roman" w:hAnsi="Times New Roman" w:cs="Times New Roman"/>
                <w:b w:val="false"/>
                <w:i w:val="false"/>
                <w:sz w:val="22"/>
              </w:rPr>
              <w:t>-7.24%</w:t>
            </w:r>
          </w:p>
        </w:tc>
        <w:tc>
          <w:tcPr>
            <w:tcW w:type="dxa" w:w="3060"/>
            <w:vAlign w:val="center"/>
          </w:tcPr>
          <w:p>
            <w:r>
              <w:rPr>
                <w:rFonts w:eastAsia="宋体" w:ascii="Times New Roman" w:hAnsi="Times New Roman" w:cs="Times New Roman"/>
                <w:b w:val="false"/>
                <w:i w:val="false"/>
                <w:sz w:val="22"/>
              </w:rPr>
              <w:t>影院银幕广告</w:t>
            </w:r>
          </w:p>
        </w:tc>
      </w:tr>
      <w:tr>
        <w:tc>
          <w:tcPr>
            <w:tcW w:type="dxa" w:w="3060"/>
            <w:vAlign w:val="center"/>
          </w:tcPr>
          <w:p>
            <w:r>
              <w:rPr>
                <w:rFonts w:eastAsia="宋体" w:ascii="Times New Roman" w:hAnsi="Times New Roman" w:cs="Times New Roman"/>
                <w:b w:val="false"/>
                <w:i w:val="false"/>
                <w:sz w:val="22"/>
              </w:rPr>
              <w:t>其他媒体及其他</w:t>
            </w:r>
          </w:p>
        </w:tc>
        <w:tc>
          <w:tcPr>
            <w:tcW w:type="dxa" w:w="3060"/>
            <w:vAlign w:val="center"/>
          </w:tcPr>
          <w:p>
            <w:r>
              <w:rPr>
                <w:rFonts w:eastAsia="宋体" w:ascii="Times New Roman" w:hAnsi="Times New Roman" w:cs="Times New Roman"/>
                <w:b w:val="false"/>
                <w:i w:val="false"/>
                <w:sz w:val="22"/>
              </w:rPr>
              <w:t>0.20%</w:t>
            </w:r>
          </w:p>
        </w:tc>
        <w:tc>
          <w:tcPr>
            <w:tcW w:type="dxa" w:w="3060"/>
            <w:vAlign w:val="center"/>
          </w:tcPr>
          <w:p>
            <w:r>
              <w:rPr>
                <w:rFonts w:eastAsia="宋体" w:ascii="Times New Roman" w:hAnsi="Times New Roman" w:cs="Times New Roman"/>
                <w:b w:val="false"/>
                <w:i w:val="false"/>
                <w:sz w:val="22"/>
              </w:rPr>
              <w:t>-</w:t>
            </w:r>
          </w:p>
        </w:tc>
        <w:tc>
          <w:tcPr>
            <w:tcW w:type="dxa" w:w="3060"/>
            <w:vAlign w:val="center"/>
          </w:tcPr>
          <w:p>
            <w:r>
              <w:rPr>
                <w:rFonts w:eastAsia="宋体" w:ascii="Times New Roman" w:hAnsi="Times New Roman" w:cs="Times New Roman"/>
                <w:b w:val="false"/>
                <w:i w:val="false"/>
                <w:sz w:val="22"/>
              </w:rPr>
              <w:t>终端卖场等场景</w:t>
            </w:r>
          </w:p>
        </w:tc>
      </w:tr>
    </w:tbl>
    <w:p>
      <w:pPr>
        <w:spacing w:line="240" w:lineRule="auto" w:before="120" w:after="120"/>
        <w:ind w:firstLine="0"/>
        <w:jc w:val="left"/>
      </w:pPr>
      <w:r>
        <w:rPr>
          <w:rFonts w:eastAsia="宋体" w:ascii="Times New Roman" w:hAnsi="Times New Roman" w:cs="Times New Roman"/>
          <w:b w:val="false"/>
          <w:i w:val="true"/>
          <w:sz w:val="22"/>
        </w:rPr>
        <w:t>数据来源：公司2025年年报</w:t>
      </w:r>
      <w:r>
        <w:rPr>
          <w:rFonts w:eastAsia="宋体" w:ascii="Times New Roman" w:hAnsi="Times New Roman" w:cs="Times New Roman"/>
          <w:b w:val="false"/>
          <w:i w:val="false"/>
          <w:sz w:val="22"/>
          <w:vertAlign w:val="superscript"/>
        </w:rPr>
        <w:t>[9]</w:t>
      </w:r>
    </w:p>
    <w:p>
      <w:pPr>
        <w:pStyle w:val="EM_H2_STYLE"/>
        <w:spacing w:line="240" w:lineRule="auto" w:before="120" w:after="120"/>
        <w:ind w:left="0"/>
        <w:jc w:val="left"/>
      </w:pPr>
      <w:r>
        <w:rPr>
          <w:rFonts w:eastAsia="宋体" w:ascii="宋体" w:hAnsi="宋体" w:cs="宋体"/>
          <w:b w:val="true"/>
          <w:i w:val="false"/>
          <w:sz w:val="28"/>
        </w:rPr>
        <w:t>1.2 股权结构与治理</w:t>
      </w:r>
    </w:p>
    <w:p>
      <w:pPr>
        <w:spacing w:line="240" w:lineRule="auto" w:before="120" w:after="120"/>
        <w:ind w:firstLine="0"/>
        <w:jc w:val="left"/>
      </w:pPr>
      <w:r>
        <w:rPr>
          <w:rFonts w:eastAsia="宋体" w:ascii="Times New Roman" w:hAnsi="Times New Roman" w:cs="Times New Roman"/>
          <w:b w:val="false"/>
          <w:i w:val="false"/>
          <w:sz w:val="22"/>
        </w:rPr>
        <w:t>分众传媒的股权结构呈现出以创始人控股为核心、战略投资者与机构投资者并存的稳定格局。实际控制人江南春通过Media Management Hong Kong Limited直接持有公司23.72%的股份，长期保持控股地位</w:t>
      </w:r>
      <w:r>
        <w:rPr>
          <w:rFonts w:eastAsia="宋体" w:ascii="Times New Roman" w:hAnsi="Times New Roman" w:cs="Times New Roman"/>
          <w:b w:val="false"/>
          <w:i w:val="false"/>
          <w:sz w:val="22"/>
          <w:vertAlign w:val="superscript"/>
        </w:rPr>
        <w:t>[10]</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[12]</w:t>
      </w:r>
      <w:r>
        <w:rPr>
          <w:rFonts w:eastAsia="宋体" w:ascii="Times New Roman" w:hAnsi="Times New Roman" w:cs="Times New Roman"/>
          <w:b w:val="false"/>
          <w:i w:val="false"/>
          <w:sz w:val="22"/>
        </w:rPr>
        <w:t>。阿里系资本通过一致行动人组合形成重要战略投资力量，其中杭州灏月企业管理有限公司持股6.13%，Gio2 Hong Kong Holdings Limited持股1.71%，Giovanna Investment Hong Kong Limited持股1.04%，三者合计持股比例达8.88%且构成关联关系</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。香港中央结算有限公司作为外资持股主要通道，持股比例呈现动态变化特征，2024年末达8.64%，2025年中回落至5.56%，2025年末又回升至5.72%，反映国际资本配置调整</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机构投资者构成方面，公募基金占据显著地位：中国银行股份有限公司-易方达蓝筹精选混合型证券投资基金持仓1.36%～1.72%，中国工商银行股份有限公司-华泰柏瑞沪深300交易型开放式指数证券投资基金持仓1.16%～1.25%，两者均位列十大流通股东</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[15]</w:t>
      </w:r>
      <w:r>
        <w:rPr>
          <w:rFonts w:eastAsia="宋体" w:ascii="Times New Roman" w:hAnsi="Times New Roman" w:cs="Times New Roman"/>
          <w:b w:val="false"/>
          <w:i w:val="false"/>
          <w:sz w:val="22"/>
        </w:rPr>
        <w:t>。全国社保基金组合持续配置，包括一零九组合（1.27%～1.39%）、一零一组合（0.78%～0.93%）及一一八组合（0.9%）等，体现长期资本对公司的认可</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[16]</w:t>
      </w:r>
      <w:r>
        <w:rPr>
          <w:rFonts w:eastAsia="宋体" w:ascii="Times New Roman" w:hAnsi="Times New Roman" w:cs="Times New Roman"/>
          <w:b w:val="false"/>
          <w:i w:val="false"/>
          <w:sz w:val="22"/>
        </w:rPr>
        <w:t>。2026年一季度末数据显示，香港中央结算有限公司持股8.09亿股（占比5.6%），易方达蓝筹精选混合基金持股1.62亿股（1.12%），新进股东兴全商业模式混合基金持有1亿股（0.69%）</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公司治理架构持续优化，严格遵循《公司法》《上市公司治理准则》构建现代企业制度。董事会设置7名成员（含3名独立董事及1名职工代表董事），形成决策机构的核心</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rPr>
        <w:t>。2025年完成重大治理改革，撤销监事会设置，改由董事组成的审计委员会行使监督职能，实现治理架构的精简与效能提升</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rPr>
        <w:t>。在控制权安排上，公司通过差异化表决权设计确保核心管理层主导权，典型案例体现在对数禾科技的投资结构：虽持股54.97%但未获得实际控制权，其公司章程要求重大决议需三分之二以上表决权通过，且9人董事会中分众仅占4席</w:t>
      </w:r>
      <w:r>
        <w:rPr>
          <w:rFonts w:eastAsia="宋体" w:ascii="Times New Roman" w:hAnsi="Times New Roman" w:cs="Times New Roman"/>
          <w:b w:val="false"/>
          <w:i w:val="false"/>
          <w:sz w:val="22"/>
          <w:vertAlign w:val="superscript"/>
        </w:rPr>
        <w:t>[17]</w:t>
      </w:r>
      <w:r>
        <w:rPr>
          <w:rFonts w:eastAsia="宋体" w:ascii="Times New Roman" w:hAnsi="Times New Roman" w:cs="Times New Roman"/>
          <w:b w:val="false"/>
          <w:i w:val="false"/>
          <w:sz w:val="22"/>
        </w:rPr>
        <w:t>。这种设计虽保障被投企业自主性，但也带来治理隐患，2026年初分众传媒对数禾科技股权清仓退出，通过境内定向减资和境外股权返还方式实现资产剥离</w:t>
      </w:r>
      <w:r>
        <w:rPr>
          <w:rFonts w:eastAsia="宋体" w:ascii="Times New Roman" w:hAnsi="Times New Roman" w:cs="Times New Roman"/>
          <w:b w:val="false"/>
          <w:i w:val="false"/>
          <w:sz w:val="22"/>
          <w:vertAlign w:val="superscript"/>
        </w:rPr>
        <w:t>[18]</w:t>
      </w:r>
      <w:r>
        <w:rPr>
          <w:rFonts w:eastAsia="宋体" w:ascii="Times New Roman" w:hAnsi="Times New Roman" w:cs="Times New Roman"/>
          <w:b w:val="false"/>
          <w:i w:val="false"/>
          <w:sz w:val="22"/>
          <w:vertAlign w:val="superscript"/>
        </w:rPr>
        <w:t>[19]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true"/>
          <w:sz w:val="22"/>
        </w:rPr>
        <w:t>表：主要股东持股结构变化（2024-2025年）</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股东名称</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2024年末持股(%)</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2025Q3持股(%)</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2025年末持股(%)</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香港中央结算</w:t>
            </w:r>
          </w:p>
        </w:tc>
        <w:tc>
          <w:tcPr>
            <w:tcW w:type="dxa" w:w="3060"/>
            <w:vAlign w:val="center"/>
          </w:tcPr>
          <w:p>
            <w:r>
              <w:rPr>
                <w:rFonts w:eastAsia="宋体" w:ascii="Times New Roman" w:hAnsi="Times New Roman" w:cs="Times New Roman"/>
                <w:b w:val="false"/>
                <w:i w:val="false"/>
                <w:sz w:val="22"/>
              </w:rPr>
              <w:t>8.64</w:t>
            </w:r>
          </w:p>
        </w:tc>
        <w:tc>
          <w:tcPr>
            <w:tcW w:type="dxa" w:w="3060"/>
            <w:vAlign w:val="center"/>
          </w:tcPr>
          <w:p>
            <w:r>
              <w:rPr>
                <w:rFonts w:eastAsia="宋体" w:ascii="Times New Roman" w:hAnsi="Times New Roman" w:cs="Times New Roman"/>
                <w:b w:val="false"/>
                <w:i w:val="false"/>
                <w:sz w:val="22"/>
              </w:rPr>
              <w:t>5.56</w:t>
            </w:r>
          </w:p>
        </w:tc>
        <w:tc>
          <w:tcPr>
            <w:tcW w:type="dxa" w:w="3060"/>
            <w:vAlign w:val="center"/>
          </w:tcPr>
          <w:p>
            <w:r>
              <w:rPr>
                <w:rFonts w:eastAsia="宋体" w:ascii="Times New Roman" w:hAnsi="Times New Roman" w:cs="Times New Roman"/>
                <w:b w:val="false"/>
                <w:i w:val="false"/>
                <w:sz w:val="22"/>
              </w:rPr>
              <w:t>5.72</w:t>
            </w:r>
          </w:p>
        </w:tc>
      </w:tr>
      <w:tr>
        <w:tc>
          <w:tcPr>
            <w:tcW w:type="dxa" w:w="3060"/>
            <w:vAlign w:val="center"/>
          </w:tcPr>
          <w:p>
            <w:r>
              <w:rPr>
                <w:rFonts w:eastAsia="宋体" w:ascii="Times New Roman" w:hAnsi="Times New Roman" w:cs="Times New Roman"/>
                <w:b w:val="false"/>
                <w:i w:val="false"/>
                <w:sz w:val="22"/>
              </w:rPr>
              <w:t>杭州灏月</w:t>
            </w:r>
          </w:p>
        </w:tc>
        <w:tc>
          <w:tcPr>
            <w:tcW w:type="dxa" w:w="3060"/>
            <w:vAlign w:val="center"/>
          </w:tcPr>
          <w:p>
            <w:r>
              <w:rPr>
                <w:rFonts w:eastAsia="宋体" w:ascii="Times New Roman" w:hAnsi="Times New Roman" w:cs="Times New Roman"/>
                <w:b w:val="false"/>
                <w:i w:val="false"/>
                <w:sz w:val="22"/>
              </w:rPr>
              <w:t>6.13</w:t>
            </w:r>
          </w:p>
        </w:tc>
        <w:tc>
          <w:tcPr>
            <w:tcW w:type="dxa" w:w="3060"/>
            <w:vAlign w:val="center"/>
          </w:tcPr>
          <w:p>
            <w:r>
              <w:rPr>
                <w:rFonts w:eastAsia="宋体" w:ascii="Times New Roman" w:hAnsi="Times New Roman" w:cs="Times New Roman"/>
                <w:b w:val="false"/>
                <w:i w:val="false"/>
                <w:sz w:val="22"/>
              </w:rPr>
              <w:t>6.13</w:t>
            </w:r>
          </w:p>
        </w:tc>
        <w:tc>
          <w:tcPr>
            <w:tcW w:type="dxa" w:w="3060"/>
            <w:vAlign w:val="center"/>
          </w:tcPr>
          <w:p>
            <w:r>
              <w:rPr>
                <w:rFonts w:eastAsia="宋体" w:ascii="Times New Roman" w:hAnsi="Times New Roman" w:cs="Times New Roman"/>
                <w:b w:val="false"/>
                <w:i w:val="false"/>
                <w:sz w:val="22"/>
              </w:rPr>
              <w:t>6.13</w:t>
            </w:r>
          </w:p>
        </w:tc>
      </w:tr>
      <w:tr>
        <w:tc>
          <w:tcPr>
            <w:tcW w:type="dxa" w:w="3060"/>
            <w:vAlign w:val="center"/>
          </w:tcPr>
          <w:p>
            <w:r>
              <w:rPr>
                <w:rFonts w:eastAsia="宋体" w:ascii="Times New Roman" w:hAnsi="Times New Roman" w:cs="Times New Roman"/>
                <w:b w:val="false"/>
                <w:i w:val="false"/>
                <w:sz w:val="22"/>
              </w:rPr>
              <w:t>易方达蓝筹精选</w:t>
            </w:r>
          </w:p>
        </w:tc>
        <w:tc>
          <w:tcPr>
            <w:tcW w:type="dxa" w:w="3060"/>
            <w:vAlign w:val="center"/>
          </w:tcPr>
          <w:p>
            <w:r>
              <w:rPr>
                <w:rFonts w:eastAsia="宋体" w:ascii="Times New Roman" w:hAnsi="Times New Roman" w:cs="Times New Roman"/>
                <w:b w:val="false"/>
                <w:i w:val="false"/>
                <w:sz w:val="22"/>
              </w:rPr>
              <w:t>1.51</w:t>
            </w:r>
          </w:p>
        </w:tc>
        <w:tc>
          <w:tcPr>
            <w:tcW w:type="dxa" w:w="3060"/>
            <w:vAlign w:val="center"/>
          </w:tcPr>
          <w:p>
            <w:r>
              <w:rPr>
                <w:rFonts w:eastAsia="宋体" w:ascii="Times New Roman" w:hAnsi="Times New Roman" w:cs="Times New Roman"/>
                <w:b w:val="false"/>
                <w:i w:val="false"/>
                <w:sz w:val="22"/>
              </w:rPr>
              <w:t>1.72</w:t>
            </w:r>
          </w:p>
        </w:tc>
        <w:tc>
          <w:tcPr>
            <w:tcW w:type="dxa" w:w="3060"/>
            <w:vAlign w:val="center"/>
          </w:tcPr>
          <w:p>
            <w:r>
              <w:rPr>
                <w:rFonts w:eastAsia="宋体" w:ascii="Times New Roman" w:hAnsi="Times New Roman" w:cs="Times New Roman"/>
                <w:b w:val="false"/>
                <w:i w:val="false"/>
                <w:sz w:val="22"/>
              </w:rPr>
              <w:t>1.36</w:t>
            </w:r>
          </w:p>
        </w:tc>
      </w:tr>
      <w:tr>
        <w:tc>
          <w:tcPr>
            <w:tcW w:type="dxa" w:w="3060"/>
            <w:vAlign w:val="center"/>
          </w:tcPr>
          <w:p>
            <w:r>
              <w:rPr>
                <w:rFonts w:eastAsia="宋体" w:ascii="Times New Roman" w:hAnsi="Times New Roman" w:cs="Times New Roman"/>
                <w:b w:val="false"/>
                <w:i w:val="false"/>
                <w:sz w:val="22"/>
              </w:rPr>
              <w:t>社保109组合</w:t>
            </w:r>
          </w:p>
        </w:tc>
        <w:tc>
          <w:tcPr>
            <w:tcW w:type="dxa" w:w="3060"/>
            <w:vAlign w:val="center"/>
          </w:tcPr>
          <w:p>
            <w:r>
              <w:rPr>
                <w:rFonts w:eastAsia="宋体" w:ascii="Times New Roman" w:hAnsi="Times New Roman" w:cs="Times New Roman"/>
                <w:b w:val="false"/>
                <w:i w:val="false"/>
                <w:sz w:val="22"/>
              </w:rPr>
              <w:t>1.27</w:t>
            </w:r>
          </w:p>
        </w:tc>
        <w:tc>
          <w:tcPr>
            <w:tcW w:type="dxa" w:w="3060"/>
            <w:vAlign w:val="center"/>
          </w:tcPr>
          <w:p>
            <w:r>
              <w:rPr>
                <w:rFonts w:eastAsia="宋体" w:ascii="Times New Roman" w:hAnsi="Times New Roman" w:cs="Times New Roman"/>
                <w:b w:val="false"/>
                <w:i w:val="false"/>
                <w:sz w:val="22"/>
              </w:rPr>
              <w:t>1.37</w:t>
            </w:r>
          </w:p>
        </w:tc>
        <w:tc>
          <w:tcPr>
            <w:tcW w:type="dxa" w:w="3060"/>
            <w:vAlign w:val="center"/>
          </w:tcPr>
          <w:p>
            <w:r>
              <w:rPr>
                <w:rFonts w:eastAsia="宋体" w:ascii="Times New Roman" w:hAnsi="Times New Roman" w:cs="Times New Roman"/>
                <w:b w:val="false"/>
                <w:i w:val="false"/>
                <w:sz w:val="22"/>
              </w:rPr>
              <w:t>-</w:t>
            </w:r>
          </w:p>
        </w:tc>
      </w:tr>
    </w:tbl>
    <w:p>
      <w:pPr>
        <w:spacing w:line="240" w:lineRule="auto" w:before="120" w:after="120"/>
        <w:ind w:firstLine="0"/>
        <w:jc w:val="left"/>
      </w:pPr>
      <w:r>
        <w:rPr>
          <w:rFonts w:eastAsia="宋体" w:ascii="Times New Roman" w:hAnsi="Times New Roman" w:cs="Times New Roman"/>
          <w:b w:val="false"/>
          <w:i w:val="true"/>
          <w:sz w:val="22"/>
        </w:rPr>
        <w:t>数据综合自公司定期报告及公开披露</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[13]</w:t>
      </w:r>
      <w:r>
        <w:rPr>
          <w:rFonts w:eastAsia="宋体" w:ascii="Times New Roman" w:hAnsi="Times New Roman" w:cs="Times New Roman"/>
          <w:b w:val="false"/>
          <w:i w:val="false"/>
          <w:sz w:val="22"/>
          <w:vertAlign w:val="superscript"/>
        </w:rPr>
        <w:t>[15]</w:t>
      </w:r>
    </w:p>
    <w:p>
      <w:pPr>
        <w:spacing w:line="240" w:lineRule="auto" w:before="120" w:after="120"/>
        <w:ind w:firstLine="0"/>
        <w:jc w:val="left"/>
      </w:pPr>
      <w:r>
        <w:rPr>
          <w:rFonts w:eastAsia="宋体" w:ascii="Times New Roman" w:hAnsi="Times New Roman" w:cs="Times New Roman"/>
          <w:b w:val="false"/>
          <w:i w:val="false"/>
          <w:sz w:val="22"/>
        </w:rPr>
        <w:t>关联交易管理机制方面，公司建立严格的定价审核体系。以2026年FMOIL III增资案为例，委托沃克森评估机构采用收益法估值，最终以16,000万美元投前估值作为交易基准，确保定价公允性</w:t>
      </w:r>
      <w:r>
        <w:rPr>
          <w:rFonts w:eastAsia="宋体" w:ascii="Times New Roman" w:hAnsi="Times New Roman" w:cs="Times New Roman"/>
          <w:b w:val="false"/>
          <w:i w:val="false"/>
          <w:sz w:val="22"/>
          <w:vertAlign w:val="superscript"/>
        </w:rPr>
        <w:t>[20]</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。对阿里巴巴关联方交易实施动态监控，2025年1-10月实际发生交易额低于年度预计总额，反映风控有效性</w:t>
      </w:r>
      <w:r>
        <w:rPr>
          <w:rFonts w:eastAsia="宋体" w:ascii="Times New Roman" w:hAnsi="Times New Roman" w:cs="Times New Roman"/>
          <w:b w:val="false"/>
          <w:i w:val="false"/>
          <w:sz w:val="22"/>
          <w:vertAlign w:val="superscript"/>
        </w:rPr>
        <w:t>[14]</w:t>
      </w:r>
      <w:r>
        <w:rPr>
          <w:rFonts w:eastAsia="宋体" w:ascii="Times New Roman" w:hAnsi="Times New Roman" w:cs="Times New Roman"/>
          <w:b w:val="false"/>
          <w:i w:val="false"/>
          <w:sz w:val="22"/>
        </w:rPr>
        <w:t>。股权稳定性指标显示，2025年末A股股东户数18.54万户，较期初增长9.92%，户均流通股降至7.79万股，反映股权分散化趋势增强</w:t>
      </w:r>
      <w:r>
        <w:rPr>
          <w:rFonts w:eastAsia="宋体" w:ascii="Times New Roman" w:hAnsi="Times New Roman" w:cs="Times New Roman"/>
          <w:b w:val="false"/>
          <w:i w:val="false"/>
          <w:sz w:val="22"/>
          <w:vertAlign w:val="superscript"/>
        </w:rPr>
        <w:t>[4]</w:t>
      </w:r>
      <w:r>
        <w:rPr>
          <w:rFonts w:eastAsia="宋体" w:ascii="Times New Roman" w:hAnsi="Times New Roman" w:cs="Times New Roman"/>
          <w:b w:val="false"/>
          <w:i w:val="false"/>
          <w:sz w:val="22"/>
          <w:vertAlign w:val="superscript"/>
        </w:rPr>
        <w:t>[5]</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1.3 业务布局与媒体网络</w:t>
      </w:r>
    </w:p>
    <w:p>
      <w:pPr>
        <w:spacing w:line="240" w:lineRule="auto" w:before="120" w:after="120"/>
        <w:ind w:firstLine="0"/>
        <w:jc w:val="left"/>
      </w:pPr>
      <w:r>
        <w:rPr>
          <w:rFonts w:eastAsia="宋体" w:ascii="Times New Roman" w:hAnsi="Times New Roman" w:cs="Times New Roman"/>
          <w:b w:val="false"/>
          <w:i w:val="false"/>
          <w:sz w:val="22"/>
        </w:rPr>
        <w:t>分众传媒构建了国内规模最大、覆盖最完整的城市生活圈媒体网络，其核心业务聚焦于生活圈场景中户外广告的开发和运营。主要产品包括楼宇媒体（涵盖电梯电视媒体与电梯海报媒体）及影院银幕广告媒体，通过整合工作、生活、娱乐和消费四大核心场景，形成全域触达的媒体矩阵</w:t>
      </w:r>
      <w:r>
        <w:rPr>
          <w:rFonts w:eastAsia="宋体" w:ascii="Times New Roman" w:hAnsi="Times New Roman" w:cs="Times New Roman"/>
          <w:b w:val="false"/>
          <w:i w:val="false"/>
          <w:sz w:val="22"/>
          <w:vertAlign w:val="superscript"/>
        </w:rPr>
        <w:t>[2]</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rPr>
        <w:t>。截至2026年3月31日，该网络已覆盖</w:t>
      </w:r>
      <w:r>
        <w:rPr>
          <w:rFonts w:eastAsia="宋体" w:ascii="Times New Roman" w:hAnsi="Times New Roman" w:cs="Times New Roman"/>
          <w:b w:val="true"/>
          <w:i w:val="false"/>
          <w:sz w:val="22"/>
        </w:rPr>
        <w:t>国内约350个城市</w:t>
      </w:r>
      <w:r>
        <w:rPr>
          <w:rFonts w:eastAsia="宋体" w:ascii="Times New Roman" w:hAnsi="Times New Roman" w:cs="Times New Roman"/>
          <w:b w:val="false"/>
          <w:i w:val="false"/>
          <w:sz w:val="22"/>
        </w:rPr>
        <w:t>及中国香港特别行政区，并拓展至</w:t>
      </w:r>
      <w:r>
        <w:rPr>
          <w:rFonts w:eastAsia="宋体" w:ascii="Times New Roman" w:hAnsi="Times New Roman" w:cs="Times New Roman"/>
          <w:b w:val="true"/>
          <w:i w:val="false"/>
          <w:sz w:val="22"/>
        </w:rPr>
        <w:t>韩国、泰国、新加坡、印度尼西亚、马来西亚、越南、印度、日本、阿联酋、澳大利亚等11个国家</w:t>
      </w:r>
      <w:r>
        <w:rPr>
          <w:rFonts w:eastAsia="宋体" w:ascii="Times New Roman" w:hAnsi="Times New Roman" w:cs="Times New Roman"/>
          <w:b w:val="false"/>
          <w:i w:val="false"/>
          <w:sz w:val="22"/>
        </w:rPr>
        <w:t>，实现全球化点位布局</w:t>
      </w:r>
      <w:r>
        <w:rPr>
          <w:rFonts w:eastAsia="宋体" w:ascii="Times New Roman" w:hAnsi="Times New Roman" w:cs="Times New Roman"/>
          <w:b w:val="false"/>
          <w:i w:val="false"/>
          <w:sz w:val="22"/>
          <w:vertAlign w:val="superscript"/>
        </w:rPr>
        <w:t>[11]</w:t>
      </w:r>
      <w:r>
        <w:rPr>
          <w:rFonts w:eastAsia="宋体" w:ascii="Times New Roman" w:hAnsi="Times New Roman" w:cs="Times New Roman"/>
          <w:b w:val="false"/>
          <w:i w:val="false"/>
          <w:sz w:val="22"/>
          <w:vertAlign w:val="superscript"/>
        </w:rPr>
        <w:t>[22]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在媒体资源规模方面，公司通过自营与战略并购持续优化结构：</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楼宇媒体网络</w:t>
      </w:r>
      <w:r>
        <w:rPr>
          <w:rFonts w:eastAsia="宋体" w:ascii="Times New Roman" w:hAnsi="Times New Roman" w:cs="Times New Roman"/>
          <w:b w:val="false"/>
          <w:i w:val="false"/>
          <w:sz w:val="22"/>
        </w:rPr>
        <w:t>：</w:t>
      </w:r>
    </w:p>
    <w:p>
      <w:pPr>
        <w:numPr>
          <w:ilvl w:val="1"/>
          <w:numId w:val="1"/>
        </w:numPr>
        <w:spacing w:line="240" w:lineRule="auto" w:before="120" w:after="120"/>
        <w:jc w:val="left"/>
      </w:pPr>
      <w:r>
        <w:rPr>
          <w:rFonts w:eastAsia="宋体" w:ascii="Times New Roman" w:hAnsi="Times New Roman" w:cs="Times New Roman"/>
          <w:b w:val="true"/>
          <w:i w:val="false"/>
          <w:sz w:val="22"/>
        </w:rPr>
        <w:t>电梯电视媒体</w:t>
      </w:r>
      <w:r>
        <w:rPr>
          <w:rFonts w:eastAsia="宋体" w:ascii="Times New Roman" w:hAnsi="Times New Roman" w:cs="Times New Roman"/>
          <w:b w:val="false"/>
          <w:i w:val="false"/>
          <w:sz w:val="22"/>
        </w:rPr>
        <w:t xml:space="preserve">：覆盖境内超240个主要城市及10个海外国家，设备总量约128.7万台（含境外15.4万台），一线及二线城市设备数量同比分别增长7.3%、6.8% </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w:t>
      </w:r>
    </w:p>
    <w:p>
      <w:pPr>
        <w:numPr>
          <w:ilvl w:val="1"/>
          <w:numId w:val="1"/>
        </w:numPr>
        <w:spacing w:line="240" w:lineRule="auto" w:before="120" w:after="120"/>
        <w:jc w:val="left"/>
      </w:pPr>
      <w:r>
        <w:rPr>
          <w:rFonts w:eastAsia="宋体" w:ascii="Times New Roman" w:hAnsi="Times New Roman" w:cs="Times New Roman"/>
          <w:b w:val="true"/>
          <w:i w:val="false"/>
          <w:sz w:val="22"/>
        </w:rPr>
        <w:t>电梯海报媒体</w:t>
      </w:r>
      <w:r>
        <w:rPr>
          <w:rFonts w:eastAsia="宋体" w:ascii="Times New Roman" w:hAnsi="Times New Roman" w:cs="Times New Roman"/>
          <w:b w:val="false"/>
          <w:i w:val="false"/>
          <w:sz w:val="22"/>
        </w:rPr>
        <w:t>：覆盖境内约120个主要城市及部分海外地区，设备总量约168.5万个（含境外2.6万个），通过整合新潮传媒资源，显著增强社区场景覆盖密度</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影院媒体网络</w:t>
      </w:r>
      <w:r>
        <w:rPr>
          <w:rFonts w:eastAsia="宋体" w:ascii="Times New Roman" w:hAnsi="Times New Roman" w:cs="Times New Roman"/>
          <w:b w:val="false"/>
          <w:i w:val="false"/>
          <w:sz w:val="22"/>
        </w:rPr>
        <w:t>：合作影院达2,459家，覆盖国内约300个城市的1.7万个影厅，精准触达观影人群</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vertAlign w:val="superscript"/>
        </w:rPr>
        <w:t>[26]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媒体网络结构优化战略</w:t>
      </w:r>
      <w:r>
        <w:rPr>
          <w:rFonts w:eastAsia="宋体" w:ascii="Times New Roman" w:hAnsi="Times New Roman" w:cs="Times New Roman"/>
          <w:b w:val="false"/>
          <w:i w:val="false"/>
          <w:sz w:val="22"/>
        </w:rPr>
        <w:t>主要通过两大路径实现：</w:t>
      </w:r>
    </w:p>
    <w:p>
      <w:pPr>
        <w:numPr>
          <w:ilvl w:val="0"/>
          <w:numId w:val="1"/>
        </w:numPr>
        <w:spacing w:line="240" w:lineRule="auto" w:before="120" w:after="120"/>
        <w:jc w:val="left"/>
      </w:pPr>
      <w:r>
        <w:rPr>
          <w:rFonts w:eastAsia="宋体" w:ascii="Times New Roman" w:hAnsi="Times New Roman" w:cs="Times New Roman"/>
          <w:b w:val="true"/>
          <w:i w:val="false"/>
          <w:sz w:val="22"/>
        </w:rPr>
        <w:t>纵向深化</w:t>
      </w:r>
      <w:r>
        <w:rPr>
          <w:rFonts w:eastAsia="宋体" w:ascii="Times New Roman" w:hAnsi="Times New Roman" w:cs="Times New Roman"/>
          <w:b w:val="false"/>
          <w:i w:val="false"/>
          <w:sz w:val="22"/>
        </w:rPr>
        <w:t>：在一二线城市持续优化点位质量，同步推进三四线城市下沉，扩大长尾市场渗透率</w:t>
      </w:r>
      <w:r>
        <w:rPr>
          <w:rFonts w:eastAsia="宋体" w:ascii="Times New Roman" w:hAnsi="Times New Roman" w:cs="Times New Roman"/>
          <w:b w:val="false"/>
          <w:i w:val="false"/>
          <w:sz w:val="22"/>
          <w:vertAlign w:val="superscript"/>
        </w:rPr>
        <w:t>[27]</w:t>
      </w:r>
      <w:r>
        <w:rPr>
          <w:rFonts w:eastAsia="宋体" w:ascii="Times New Roman" w:hAnsi="Times New Roman" w:cs="Times New Roman"/>
          <w:b w:val="false"/>
          <w:i w:val="false"/>
          <w:sz w:val="22"/>
        </w:rPr>
        <w:t>。</w:t>
      </w:r>
    </w:p>
    <w:p>
      <w:pPr>
        <w:numPr>
          <w:ilvl w:val="0"/>
          <w:numId w:val="1"/>
        </w:numPr>
        <w:spacing w:line="240" w:lineRule="auto" w:before="120" w:after="120"/>
        <w:jc w:val="left"/>
      </w:pPr>
      <w:r>
        <w:rPr>
          <w:rFonts w:eastAsia="宋体" w:ascii="Times New Roman" w:hAnsi="Times New Roman" w:cs="Times New Roman"/>
          <w:b w:val="true"/>
          <w:i w:val="false"/>
          <w:sz w:val="22"/>
        </w:rPr>
        <w:t>横向整合</w:t>
      </w:r>
      <w:r>
        <w:rPr>
          <w:rFonts w:eastAsia="宋体" w:ascii="Times New Roman" w:hAnsi="Times New Roman" w:cs="Times New Roman"/>
          <w:b w:val="false"/>
          <w:i w:val="false"/>
          <w:sz w:val="22"/>
        </w:rPr>
        <w:t>：2025年启动对新潮传媒的并购（交易对价83.43亿元），整合后补足社区场景资源短板，形成"写字楼+社区"全场景闭环，媒体点位密度提升显著，协同效应推动屏效优化与成本降低</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vertAlign w:val="superscript"/>
        </w:rPr>
        <w:t>[28]</w:t>
      </w:r>
      <w:r>
        <w:rPr>
          <w:rFonts w:eastAsia="宋体" w:ascii="Times New Roman" w:hAnsi="Times New Roman" w:cs="Times New Roman"/>
          <w:b w:val="false"/>
          <w:i w:val="false"/>
          <w:sz w:val="22"/>
          <w:vertAlign w:val="superscript"/>
        </w:rPr>
        <w:t>[29]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技术赋能精准触达</w:t>
      </w:r>
      <w:r>
        <w:rPr>
          <w:rFonts w:eastAsia="宋体" w:ascii="Times New Roman" w:hAnsi="Times New Roman" w:cs="Times New Roman"/>
          <w:b w:val="false"/>
          <w:i w:val="false"/>
          <w:sz w:val="22"/>
        </w:rPr>
        <w:t>是业务布局的核心竞争力。公司依托"千楼千面"智能投放系统，基于楼宇人群画像实现广告精准分发，解决传统户外广告效率痛点</w:t>
      </w:r>
      <w:r>
        <w:rPr>
          <w:rFonts w:eastAsia="宋体" w:ascii="Times New Roman" w:hAnsi="Times New Roman" w:cs="Times New Roman"/>
          <w:b w:val="false"/>
          <w:i w:val="false"/>
          <w:sz w:val="22"/>
          <w:vertAlign w:val="superscript"/>
        </w:rPr>
        <w:t>[30]</w:t>
      </w:r>
      <w:r>
        <w:rPr>
          <w:rFonts w:eastAsia="宋体" w:ascii="Times New Roman" w:hAnsi="Times New Roman" w:cs="Times New Roman"/>
          <w:b w:val="false"/>
          <w:i w:val="false"/>
          <w:sz w:val="22"/>
          <w:vertAlign w:val="superscript"/>
        </w:rPr>
        <w:t>[31]</w:t>
      </w:r>
      <w:r>
        <w:rPr>
          <w:rFonts w:eastAsia="宋体" w:ascii="Times New Roman" w:hAnsi="Times New Roman" w:cs="Times New Roman"/>
          <w:b w:val="false"/>
          <w:i w:val="false"/>
          <w:sz w:val="22"/>
        </w:rPr>
        <w:t>。同时，通过NFC互动技术将线下流量导流至线上，结合独立归因分析模型量化广告效果，构建"可精准、可归因、可互动、可优化"的数字化营销闭环</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vertAlign w:val="superscript"/>
        </w:rPr>
        <w:t>[33]</w:t>
      </w:r>
      <w:r>
        <w:rPr>
          <w:rFonts w:eastAsia="宋体" w:ascii="Times New Roman" w:hAnsi="Times New Roman" w:cs="Times New Roman"/>
          <w:b w:val="false"/>
          <w:i w:val="false"/>
          <w:sz w:val="22"/>
        </w:rPr>
        <w:t>。2026年推出的"分众智投"产品，进一步降低中小客户投放门槛，强化数智化服务能力</w:t>
      </w:r>
      <w:r>
        <w:rPr>
          <w:rFonts w:eastAsia="宋体" w:ascii="Times New Roman" w:hAnsi="Times New Roman" w:cs="Times New Roman"/>
          <w:b w:val="false"/>
          <w:i w:val="false"/>
          <w:sz w:val="22"/>
          <w:vertAlign w:val="superscript"/>
        </w:rPr>
        <w:t>[32]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国际化布局</w:t>
      </w:r>
      <w:r>
        <w:rPr>
          <w:rFonts w:eastAsia="宋体" w:ascii="Times New Roman" w:hAnsi="Times New Roman" w:cs="Times New Roman"/>
          <w:b w:val="false"/>
          <w:i w:val="false"/>
          <w:sz w:val="22"/>
        </w:rPr>
        <w:t>采用阶段性扩张策略：</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初期探索（2017年前）</w:t>
      </w:r>
      <w:r>
        <w:rPr>
          <w:rFonts w:eastAsia="宋体" w:ascii="Times New Roman" w:hAnsi="Times New Roman" w:cs="Times New Roman"/>
          <w:b w:val="false"/>
          <w:i w:val="false"/>
          <w:sz w:val="22"/>
        </w:rPr>
        <w:t>：通过加盟代理模式进入越南等市场；</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自营扩张（2017-2023年）</w:t>
      </w:r>
      <w:r>
        <w:rPr>
          <w:rFonts w:eastAsia="宋体" w:ascii="Times New Roman" w:hAnsi="Times New Roman" w:cs="Times New Roman"/>
          <w:b w:val="false"/>
          <w:i w:val="false"/>
          <w:sz w:val="22"/>
        </w:rPr>
        <w:t>：在韩国、新加坡等10国设立子公司，境外自营设备增至约18万台</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盈利转化（2024年后）</w:t>
      </w:r>
      <w:r>
        <w:rPr>
          <w:rFonts w:eastAsia="宋体" w:ascii="Times New Roman" w:hAnsi="Times New Roman" w:cs="Times New Roman"/>
          <w:b w:val="false"/>
          <w:i w:val="false"/>
          <w:sz w:val="22"/>
        </w:rPr>
        <w:t>：新加坡、中国香港户外业务稳定盈利，韩国、印尼等市场亏损收窄，2024年海外收入达10.20亿元（同比+4.8%）</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以下为媒体网络规模关键数据：</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媒体类型</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覆盖范围</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设备数量（万台/个）</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同比变化</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电梯电视媒体</w:t>
            </w:r>
          </w:p>
        </w:tc>
        <w:tc>
          <w:tcPr>
            <w:tcW w:type="dxa" w:w="3060"/>
            <w:vAlign w:val="center"/>
          </w:tcPr>
          <w:p>
            <w:r>
              <w:rPr>
                <w:rFonts w:eastAsia="宋体" w:ascii="Times New Roman" w:hAnsi="Times New Roman" w:cs="Times New Roman"/>
                <w:b w:val="false"/>
                <w:i w:val="false"/>
                <w:sz w:val="22"/>
              </w:rPr>
              <w:t>境内240城+10国</w:t>
            </w:r>
          </w:p>
        </w:tc>
        <w:tc>
          <w:tcPr>
            <w:tcW w:type="dxa" w:w="3060"/>
            <w:vAlign w:val="center"/>
          </w:tcPr>
          <w:p>
            <w:r>
              <w:rPr>
                <w:rFonts w:eastAsia="宋体" w:ascii="Times New Roman" w:hAnsi="Times New Roman" w:cs="Times New Roman"/>
                <w:b w:val="false"/>
                <w:i w:val="false"/>
                <w:sz w:val="22"/>
              </w:rPr>
              <w:t>128.7</w:t>
            </w:r>
          </w:p>
        </w:tc>
        <w:tc>
          <w:tcPr>
            <w:tcW w:type="dxa" w:w="3060"/>
            <w:vAlign w:val="center"/>
          </w:tcPr>
          <w:p>
            <w:r>
              <w:rPr>
                <w:rFonts w:eastAsia="宋体" w:ascii="Times New Roman" w:hAnsi="Times New Roman" w:cs="Times New Roman"/>
                <w:b w:val="false"/>
                <w:i w:val="false"/>
                <w:sz w:val="22"/>
              </w:rPr>
              <w:t xml:space="preserve">一线+7.3%，二线+6.8% </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电梯海报媒体</w:t>
            </w:r>
          </w:p>
        </w:tc>
        <w:tc>
          <w:tcPr>
            <w:tcW w:type="dxa" w:w="3060"/>
            <w:vAlign w:val="center"/>
          </w:tcPr>
          <w:p>
            <w:r>
              <w:rPr>
                <w:rFonts w:eastAsia="宋体" w:ascii="Times New Roman" w:hAnsi="Times New Roman" w:cs="Times New Roman"/>
                <w:b w:val="false"/>
                <w:i w:val="false"/>
                <w:sz w:val="22"/>
              </w:rPr>
              <w:t>境内120城+3国</w:t>
            </w:r>
          </w:p>
        </w:tc>
        <w:tc>
          <w:tcPr>
            <w:tcW w:type="dxa" w:w="3060"/>
            <w:vAlign w:val="center"/>
          </w:tcPr>
          <w:p>
            <w:r>
              <w:rPr>
                <w:rFonts w:eastAsia="宋体" w:ascii="Times New Roman" w:hAnsi="Times New Roman" w:cs="Times New Roman"/>
                <w:b w:val="false"/>
                <w:i w:val="false"/>
                <w:sz w:val="22"/>
              </w:rPr>
              <w:t>168.5</w:t>
            </w:r>
          </w:p>
        </w:tc>
        <w:tc>
          <w:tcPr>
            <w:tcW w:type="dxa" w:w="3060"/>
            <w:vAlign w:val="center"/>
          </w:tcPr>
          <w:p>
            <w:r>
              <w:rPr>
                <w:rFonts w:eastAsia="宋体" w:ascii="Times New Roman" w:hAnsi="Times New Roman" w:cs="Times New Roman"/>
                <w:b w:val="false"/>
                <w:i w:val="false"/>
                <w:sz w:val="22"/>
              </w:rPr>
              <w:t xml:space="preserve">境外+4% </w:t>
            </w:r>
            <w:r>
              <w:rPr>
                <w:rFonts w:eastAsia="宋体" w:ascii="Times New Roman" w:hAnsi="Times New Roman" w:cs="Times New Roman"/>
                <w:b w:val="false"/>
                <w:i w:val="false"/>
                <w:sz w:val="22"/>
                <w:vertAlign w:val="superscript"/>
              </w:rPr>
              <w:t>[23]</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影院银幕媒体</w:t>
            </w:r>
          </w:p>
        </w:tc>
        <w:tc>
          <w:tcPr>
            <w:tcW w:type="dxa" w:w="3060"/>
            <w:vAlign w:val="center"/>
          </w:tcPr>
          <w:p>
            <w:r>
              <w:rPr>
                <w:rFonts w:eastAsia="宋体" w:ascii="Times New Roman" w:hAnsi="Times New Roman" w:cs="Times New Roman"/>
                <w:b w:val="false"/>
                <w:i w:val="false"/>
                <w:sz w:val="22"/>
              </w:rPr>
              <w:t>国内300城合作影院2,459家</w:t>
            </w:r>
          </w:p>
        </w:tc>
        <w:tc>
          <w:tcPr>
            <w:tcW w:type="dxa" w:w="3060"/>
            <w:vAlign w:val="center"/>
          </w:tcPr>
          <w:p>
            <w:r>
              <w:rPr>
                <w:rFonts w:eastAsia="宋体" w:ascii="Times New Roman" w:hAnsi="Times New Roman" w:cs="Times New Roman"/>
                <w:b w:val="false"/>
                <w:i w:val="false"/>
                <w:sz w:val="22"/>
              </w:rPr>
              <w:t>1.7万影厅</w:t>
            </w:r>
          </w:p>
        </w:tc>
        <w:tc>
          <w:tcPr>
            <w:tcW w:type="dxa" w:w="3060"/>
            <w:vAlign w:val="center"/>
          </w:tcPr>
          <w:p>
            <w:r>
              <w:rPr>
                <w:rFonts w:eastAsia="宋体" w:ascii="Times New Roman" w:hAnsi="Times New Roman" w:cs="Times New Roman"/>
                <w:b w:val="false"/>
                <w:i w:val="false"/>
                <w:sz w:val="22"/>
              </w:rPr>
              <w:t>-</w:t>
            </w:r>
          </w:p>
        </w:tc>
      </w:tr>
      <w:tr>
        <w:tc>
          <w:tcPr>
            <w:tcW w:type="dxa" w:w="3060"/>
            <w:vAlign w:val="center"/>
          </w:tcPr>
          <w:p>
            <w:r>
              <w:rPr>
                <w:rFonts w:eastAsia="宋体" w:ascii="Times New Roman" w:hAnsi="Times New Roman" w:cs="Times New Roman"/>
                <w:b w:val="true"/>
                <w:i w:val="false"/>
                <w:sz w:val="22"/>
              </w:rPr>
              <w:t>境外总设备</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11国100城</w:t>
            </w:r>
          </w:p>
        </w:tc>
        <w:tc>
          <w:tcPr>
            <w:tcW w:type="dxa" w:w="3060"/>
            <w:vAlign w:val="center"/>
          </w:tcPr>
          <w:p>
            <w:r>
              <w:rPr>
                <w:rFonts w:eastAsia="宋体" w:ascii="Times New Roman" w:hAnsi="Times New Roman" w:cs="Times New Roman"/>
                <w:b w:val="false"/>
                <w:i w:val="false"/>
                <w:sz w:val="22"/>
              </w:rPr>
              <w:t>约18.0</w:t>
            </w:r>
          </w:p>
        </w:tc>
        <w:tc>
          <w:tcPr>
            <w:tcW w:type="dxa" w:w="3060"/>
            <w:vAlign w:val="center"/>
          </w:tcPr>
          <w:p>
            <w:r>
              <w:rPr>
                <w:rFonts w:eastAsia="宋体" w:ascii="Times New Roman" w:hAnsi="Times New Roman" w:cs="Times New Roman"/>
                <w:b w:val="false"/>
                <w:i w:val="false"/>
                <w:sz w:val="22"/>
              </w:rPr>
              <w:t>2024年收入10.20亿元</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
            </w:r>
          </w:p>
        </w:tc>
      </w:tr>
    </w:tbl>
    <w:p>
      <w:pPr>
        <w:spacing w:line="240" w:lineRule="auto" w:before="120" w:after="120"/>
        <w:ind w:firstLine="0"/>
        <w:jc w:val="left"/>
      </w:pPr>
      <w:r>
        <w:rPr>
          <w:rFonts w:eastAsia="宋体" w:ascii="Times New Roman" w:hAnsi="Times New Roman" w:cs="Times New Roman"/>
          <w:b w:val="false"/>
          <w:i w:val="false"/>
          <w:sz w:val="22"/>
        </w:rPr>
        <w:t>通过"本土深耕+全球拓展"双轮驱动，公司持续强化生活圈媒体网络的广度与深度，为品牌主提供全域场景覆盖与数智化营销解决方案</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2. 行业分析</w:t>
      </w:r>
    </w:p>
    <w:p>
      <w:pPr>
        <w:pStyle w:val="EM_H2_STYLE"/>
        <w:spacing w:line="240" w:lineRule="auto" w:before="120" w:after="120"/>
        <w:ind w:left="0"/>
        <w:jc w:val="left"/>
      </w:pPr>
      <w:r>
        <w:rPr>
          <w:rFonts w:eastAsia="宋体" w:ascii="宋体" w:hAnsi="宋体" w:cs="宋体"/>
          <w:b w:val="true"/>
          <w:i w:val="false"/>
          <w:sz w:val="28"/>
        </w:rPr>
        <w:t>2.1 户外广告发展趋势</w:t>
      </w:r>
    </w:p>
    <w:p>
      <w:pPr>
        <w:spacing w:line="240" w:lineRule="auto" w:before="120" w:after="120"/>
        <w:ind w:firstLine="0"/>
        <w:jc w:val="left"/>
      </w:pPr>
      <w:r>
        <w:rPr>
          <w:rFonts w:eastAsia="宋体" w:ascii="Times New Roman" w:hAnsi="Times New Roman" w:cs="Times New Roman"/>
          <w:b w:val="false"/>
          <w:i w:val="false"/>
          <w:sz w:val="22"/>
        </w:rPr>
        <w:t>中国户外广告市场呈现稳健扩张态势。2024年市场规模达852.2亿元人民币，同比增长3.86%，领跑传统线下广告渠道</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vertAlign w:val="superscript"/>
        </w:rPr>
        <w:t>[36]</w:t>
      </w:r>
      <w:r>
        <w:rPr>
          <w:rFonts w:eastAsia="宋体" w:ascii="Times New Roman" w:hAnsi="Times New Roman" w:cs="Times New Roman"/>
          <w:b w:val="false"/>
          <w:i w:val="false"/>
          <w:sz w:val="22"/>
        </w:rPr>
        <w:t>。其中，户外视频广告作为核心增长引擎，市场规模约483.2亿元，占户外广告总量的56.7%，预计到2029年将增至745.2亿元，年复合增长率显著高于行业平均水平</w:t>
      </w:r>
      <w:r>
        <w:rPr>
          <w:rFonts w:eastAsia="宋体" w:ascii="Times New Roman" w:hAnsi="Times New Roman" w:cs="Times New Roman"/>
          <w:b w:val="false"/>
          <w:i w:val="false"/>
          <w:sz w:val="22"/>
          <w:vertAlign w:val="superscript"/>
        </w:rPr>
        <w:t>[36]</w:t>
      </w:r>
      <w:r>
        <w:rPr>
          <w:rFonts w:eastAsia="宋体" w:ascii="Times New Roman" w:hAnsi="Times New Roman" w:cs="Times New Roman"/>
          <w:b w:val="false"/>
          <w:i w:val="false"/>
          <w:sz w:val="22"/>
        </w:rPr>
        <w:t>。这一增长主要受益于城市化进程深化带来的空间资源开发红利，以及数字技术赋能下的创意升级</w:t>
      </w:r>
      <w:r>
        <w:rPr>
          <w:rFonts w:eastAsia="宋体" w:ascii="Times New Roman" w:hAnsi="Times New Roman" w:cs="Times New Roman"/>
          <w:b w:val="false"/>
          <w:i w:val="false"/>
          <w:sz w:val="22"/>
          <w:vertAlign w:val="superscript"/>
        </w:rPr>
        <w:t>[37]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从结构性变化看，行业呈现三大趋势：</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渠道分化明显</w:t>
      </w:r>
      <w:r>
        <w:rPr>
          <w:rFonts w:eastAsia="宋体" w:ascii="Times New Roman" w:hAnsi="Times New Roman" w:cs="Times New Roman"/>
          <w:b w:val="false"/>
          <w:i w:val="false"/>
          <w:sz w:val="22"/>
        </w:rPr>
        <w:t>：交通枢纽（高铁、机场等）占据户外广告最大份额（57%），而商业楼宇（写字楼梯媒等）和家庭社区（社区梯媒等）分别占比11%和14.2%，成为增速最快的细分领域</w:t>
      </w:r>
      <w:r>
        <w:rPr>
          <w:rFonts w:eastAsia="宋体" w:ascii="Times New Roman" w:hAnsi="Times New Roman" w:cs="Times New Roman"/>
          <w:b w:val="false"/>
          <w:i w:val="false"/>
          <w:sz w:val="22"/>
          <w:vertAlign w:val="superscript"/>
        </w:rPr>
        <w:t>[38]</w:t>
      </w:r>
      <w:r>
        <w:rPr>
          <w:rFonts w:eastAsia="宋体" w:ascii="Times New Roman" w:hAnsi="Times New Roman" w:cs="Times New Roman"/>
          <w:b w:val="false"/>
          <w:i w:val="false"/>
          <w:sz w:val="22"/>
        </w:rPr>
        <w:t xml:space="preserve">。艾瑞咨询调研显示，楼宇电梯媒体连续两年位列广告主户外投放首选渠道，2023年市场规模增速达21.5% </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区域发展不均衡</w:t>
      </w:r>
      <w:r>
        <w:rPr>
          <w:rFonts w:eastAsia="宋体" w:ascii="Times New Roman" w:hAnsi="Times New Roman" w:cs="Times New Roman"/>
          <w:b w:val="false"/>
          <w:i w:val="false"/>
          <w:sz w:val="22"/>
        </w:rPr>
        <w:t>：新一线城市成为广告主投入增幅最大区域（2024年增长最快），下沉市场潜力尚未充分释放。县域消费占社会零售总额46.3%，但三线及以下城市梯媒覆盖率不足20%，存在显著资源缺口</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[40]</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品效合一驱动技术迭代</w:t>
      </w:r>
      <w:r>
        <w:rPr>
          <w:rFonts w:eastAsia="宋体" w:ascii="Times New Roman" w:hAnsi="Times New Roman" w:cs="Times New Roman"/>
          <w:b w:val="false"/>
          <w:i w:val="false"/>
          <w:sz w:val="22"/>
        </w:rPr>
        <w:t>：28.3%的广告主计划增加户外广告预算（其中预算超400万的企业占比65%），推动行业从“凭感觉投放”转向数据驱动决策</w:t>
      </w:r>
      <w:r>
        <w:rPr>
          <w:rFonts w:eastAsia="宋体" w:ascii="Times New Roman" w:hAnsi="Times New Roman" w:cs="Times New Roman"/>
          <w:b w:val="false"/>
          <w:i w:val="false"/>
          <w:sz w:val="22"/>
          <w:vertAlign w:val="superscript"/>
        </w:rPr>
        <w:t>[41]</w:t>
      </w:r>
      <w:r>
        <w:rPr>
          <w:rFonts w:eastAsia="宋体" w:ascii="Times New Roman" w:hAnsi="Times New Roman" w:cs="Times New Roman"/>
          <w:b w:val="false"/>
          <w:i w:val="false"/>
          <w:sz w:val="22"/>
        </w:rPr>
        <w:t>。程序化投放、内容形式丰富化（静态→视频→互动）、效果可量化评估成为升级核心方向，例如分众传媒“四可体系”（可精准、可归因、可互动、可优化）实现线下曝光到线上转化的全链路闭环</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[42]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技术重塑竞争逻辑，AI应用降低长尾客户门槛。大型企业通过AI优化投放效率（如“千楼千面”精准选楼提升目标受众浓度2-3倍），而AIGC多模态技术突破使中小广告主得以低成本参与户外投放</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rPr>
        <w:t>。2025年AI Agent在广告营销全流程的应用加速落地，进一步释放行业效能</w:t>
      </w:r>
      <w:r>
        <w:rPr>
          <w:rFonts w:eastAsia="宋体" w:ascii="Times New Roman" w:hAnsi="Times New Roman" w:cs="Times New Roman"/>
          <w:b w:val="false"/>
          <w:i w:val="false"/>
          <w:sz w:val="22"/>
          <w:vertAlign w:val="superscript"/>
        </w:rPr>
        <w:t>[43]</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区域类型</w:t>
            </w:r>
          </w:p>
        </w:tc>
        <w:tc>
          <w:tcPr>
            <w:tcW w:type="dxa" w:w="3060"/>
            <w:vAlign w:val="center"/>
          </w:tcPr>
          <w:p>
            <w:r>
              <w:rPr>
                <w:rFonts w:eastAsia="宋体" w:ascii="Times New Roman" w:hAnsi="Times New Roman" w:cs="Times New Roman"/>
                <w:b w:val="false"/>
                <w:i w:val="false"/>
                <w:sz w:val="22"/>
              </w:rPr>
              <w:t>广告饱和度</w:t>
            </w:r>
          </w:p>
        </w:tc>
        <w:tc>
          <w:tcPr>
            <w:tcW w:type="dxa" w:w="3060"/>
            <w:vAlign w:val="center"/>
          </w:tcPr>
          <w:p>
            <w:r>
              <w:rPr>
                <w:rFonts w:eastAsia="宋体" w:ascii="Times New Roman" w:hAnsi="Times New Roman" w:cs="Times New Roman"/>
                <w:b w:val="false"/>
                <w:i w:val="false"/>
                <w:sz w:val="22"/>
              </w:rPr>
              <w:t>广告收入/GDP占比</w:t>
            </w:r>
          </w:p>
        </w:tc>
        <w:tc>
          <w:tcPr>
            <w:tcW w:type="dxa" w:w="3060"/>
            <w:vAlign w:val="center"/>
          </w:tcPr>
          <w:p>
            <w:r>
              <w:rPr>
                <w:rFonts w:eastAsia="宋体" w:ascii="Times New Roman" w:hAnsi="Times New Roman" w:cs="Times New Roman"/>
                <w:b w:val="false"/>
                <w:i w:val="false"/>
                <w:sz w:val="22"/>
              </w:rPr>
              <w:t>流量红利</w:t>
            </w:r>
          </w:p>
        </w:tc>
      </w:tr>
      <w:tr>
        <w:tc>
          <w:tcPr>
            <w:tcW w:type="dxa" w:w="3060"/>
            <w:vAlign w:val="center"/>
          </w:tcPr>
          <w:p>
            <w:r>
              <w:rPr>
                <w:rFonts w:eastAsia="宋体" w:ascii="Times New Roman" w:hAnsi="Times New Roman" w:cs="Times New Roman"/>
                <w:b w:val="false"/>
                <w:i w:val="false"/>
                <w:sz w:val="22"/>
              </w:rPr>
              <w:t>发达市场（欧美）</w:t>
            </w:r>
          </w:p>
        </w:tc>
        <w:tc>
          <w:tcPr>
            <w:tcW w:type="dxa" w:w="3060"/>
            <w:vAlign w:val="center"/>
          </w:tcPr>
          <w:p>
            <w:r>
              <w:rPr>
                <w:rFonts w:eastAsia="宋体" w:ascii="Times New Roman" w:hAnsi="Times New Roman" w:cs="Times New Roman"/>
                <w:b w:val="false"/>
                <w:i w:val="false"/>
                <w:sz w:val="22"/>
              </w:rPr>
              <w:t>高</w:t>
            </w:r>
          </w:p>
        </w:tc>
        <w:tc>
          <w:tcPr>
            <w:tcW w:type="dxa" w:w="3060"/>
            <w:vAlign w:val="center"/>
          </w:tcPr>
          <w:p>
            <w:r>
              <w:rPr>
                <w:rFonts w:eastAsia="宋体" w:ascii="Times New Roman" w:hAnsi="Times New Roman" w:cs="Times New Roman"/>
                <w:b w:val="false"/>
                <w:i w:val="false"/>
                <w:sz w:val="22"/>
              </w:rPr>
              <w:t>&gt;1%</w:t>
            </w:r>
          </w:p>
        </w:tc>
        <w:tc>
          <w:tcPr>
            <w:tcW w:type="dxa" w:w="3060"/>
            <w:vAlign w:val="center"/>
          </w:tcPr>
          <w:p>
            <w:r>
              <w:rPr>
                <w:rFonts w:eastAsia="宋体" w:ascii="Times New Roman" w:hAnsi="Times New Roman" w:cs="Times New Roman"/>
                <w:b w:val="false"/>
                <w:i w:val="false"/>
                <w:sz w:val="22"/>
              </w:rPr>
              <w:t>饱和</w:t>
            </w:r>
          </w:p>
        </w:tc>
      </w:tr>
      <w:tr>
        <w:tc>
          <w:tcPr>
            <w:tcW w:type="dxa" w:w="3060"/>
            <w:vAlign w:val="center"/>
          </w:tcPr>
          <w:p>
            <w:r>
              <w:rPr>
                <w:rFonts w:eastAsia="宋体" w:ascii="Times New Roman" w:hAnsi="Times New Roman" w:cs="Times New Roman"/>
                <w:b w:val="false"/>
                <w:i w:val="false"/>
                <w:sz w:val="22"/>
              </w:rPr>
              <w:t>新兴市场（东南亚）</w:t>
            </w:r>
          </w:p>
        </w:tc>
        <w:tc>
          <w:tcPr>
            <w:tcW w:type="dxa" w:w="3060"/>
            <w:vAlign w:val="center"/>
          </w:tcPr>
          <w:p>
            <w:r>
              <w:rPr>
                <w:rFonts w:eastAsia="宋体" w:ascii="Times New Roman" w:hAnsi="Times New Roman" w:cs="Times New Roman"/>
                <w:b w:val="false"/>
                <w:i w:val="false"/>
                <w:sz w:val="22"/>
              </w:rPr>
              <w:t>低</w:t>
            </w:r>
          </w:p>
        </w:tc>
        <w:tc>
          <w:tcPr>
            <w:tcW w:type="dxa" w:w="3060"/>
            <w:vAlign w:val="center"/>
          </w:tcPr>
          <w:p>
            <w:r>
              <w:rPr>
                <w:rFonts w:eastAsia="宋体" w:ascii="Times New Roman" w:hAnsi="Times New Roman" w:cs="Times New Roman"/>
                <w:b w:val="false"/>
                <w:i w:val="false"/>
                <w:sz w:val="22"/>
              </w:rPr>
              <w:t>0.57%</w:t>
            </w:r>
          </w:p>
        </w:tc>
        <w:tc>
          <w:tcPr>
            <w:tcW w:type="dxa" w:w="3060"/>
            <w:vAlign w:val="center"/>
          </w:tcPr>
          <w:p>
            <w:r>
              <w:rPr>
                <w:rFonts w:eastAsia="宋体" w:ascii="Times New Roman" w:hAnsi="Times New Roman" w:cs="Times New Roman"/>
                <w:b w:val="false"/>
                <w:i w:val="false"/>
                <w:sz w:val="22"/>
              </w:rPr>
              <w:t>显著</w:t>
            </w:r>
          </w:p>
        </w:tc>
      </w:tr>
    </w:tbl>
    <w:p>
      <w:pPr>
        <w:spacing w:line="240" w:lineRule="auto" w:before="120" w:after="120"/>
        <w:ind w:firstLine="0"/>
        <w:jc w:val="left"/>
      </w:pPr>
      <w:r>
        <w:rPr>
          <w:rFonts w:eastAsia="宋体" w:ascii="Times New Roman" w:hAnsi="Times New Roman" w:cs="Times New Roman"/>
          <w:b w:val="false"/>
          <w:i w:val="true"/>
          <w:sz w:val="22"/>
        </w:rPr>
        <w:t>表格：全球户外广告区域差异特征（数据来源：艾瑞咨询、statista、世界银行）</w:t>
      </w:r>
      <w:r>
        <w:rPr>
          <w:rFonts w:eastAsia="宋体" w:ascii="Times New Roman" w:hAnsi="Times New Roman" w:cs="Times New Roman"/>
          <w:b w:val="false"/>
          <w:i w:val="false"/>
          <w:sz w:val="22"/>
          <w:vertAlign w:val="superscript"/>
        </w:rPr>
        <w:t>[39]</w:t>
      </w:r>
    </w:p>
    <w:p>
      <w:pPr>
        <w:spacing w:line="240" w:lineRule="auto" w:before="120" w:after="120"/>
        <w:ind w:firstLine="0"/>
        <w:jc w:val="left"/>
      </w:pPr>
      <w:r>
        <w:rPr>
          <w:rFonts w:eastAsia="宋体" w:ascii="Times New Roman" w:hAnsi="Times New Roman" w:cs="Times New Roman"/>
          <w:b w:val="false"/>
          <w:i w:val="false"/>
          <w:sz w:val="22"/>
        </w:rPr>
        <w:t>跨媒介竞争加剧行业整合。当前中国户外广告市场CR10仅30.6%，分众传媒以14.5%份额居首，收购新潮传媒（2.7%份额）后合计市占率提升至17%，但分散格局仍未改变</w:t>
      </w:r>
      <w:r>
        <w:rPr>
          <w:rFonts w:eastAsia="宋体" w:ascii="Times New Roman" w:hAnsi="Times New Roman" w:cs="Times New Roman"/>
          <w:b w:val="false"/>
          <w:i w:val="false"/>
          <w:sz w:val="22"/>
          <w:vertAlign w:val="superscript"/>
        </w:rPr>
        <w:t>[44]</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rPr>
        <w:t>。广告预算在线上/线下渠道间高度流动，迫使户外媒体通过数字化能力（如支付宝“碰一下”实现线下流量线上化）构建竞争壁垒</w:t>
      </w:r>
      <w:r>
        <w:rPr>
          <w:rFonts w:eastAsia="宋体" w:ascii="Times New Roman" w:hAnsi="Times New Roman" w:cs="Times New Roman"/>
          <w:b w:val="false"/>
          <w:i w:val="false"/>
          <w:sz w:val="22"/>
          <w:vertAlign w:val="superscript"/>
        </w:rPr>
        <w:t>[40]</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2.2 电梯媒体的竞争优势</w:t>
      </w:r>
    </w:p>
    <w:p>
      <w:pPr>
        <w:spacing w:line="240" w:lineRule="auto" w:before="120" w:after="120"/>
        <w:ind w:firstLine="0"/>
        <w:jc w:val="left"/>
      </w:pPr>
      <w:r>
        <w:rPr>
          <w:rFonts w:eastAsia="宋体" w:ascii="Times New Roman" w:hAnsi="Times New Roman" w:cs="Times New Roman"/>
          <w:b w:val="false"/>
          <w:i w:val="false"/>
          <w:sz w:val="22"/>
        </w:rPr>
        <w:t>电梯媒体凭借其在城市生活圈中的独特场景价值，形成了不可替代的竞争优势。作为现代都市人群的必经场景，电梯空间具有"封闭性、高频触达、低干扰"三大核心特性，天然具备强制收视优势。凯度研究显示，电梯广告的关注度达到45%，显著高于传统电视的19%和社交媒体的14%，日均接触时长6.4分钟占据消费者广告接触总时长的四分之一</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。这种环境使得广告信息能够实现近乎100%的完播率，有效解决线上广告跳过率高的痛点</w:t>
      </w:r>
      <w:r>
        <w:rPr>
          <w:rFonts w:eastAsia="宋体" w:ascii="Times New Roman" w:hAnsi="Times New Roman" w:cs="Times New Roman"/>
          <w:b w:val="false"/>
          <w:i w:val="false"/>
          <w:sz w:val="22"/>
          <w:vertAlign w:val="superscript"/>
        </w:rPr>
        <w:t>[47]</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在触达效果层面，电梯媒体展现出强大的心智占领能力。益普索Ipsos调研数据显示，消费者记忆深刻的广告语有85%来源于电梯媒体渠道，远高于其他媒介形态</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这种高频次触达形成的"重复曝光效应"，对品牌认知建立具有决定性作用。凯度BrandZ研究进一步验证，单一线上媒体对品牌资产提升贡献仅为7%，而结合分众电梯媒体后跃升至11%，尤其在品牌活跃度维度提升达13%，直接增强消费者决策时的品牌提及率</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人群覆盖的精准性与广度构成另一核心优势。分众传媒覆盖全国300余座城市，超300万电梯终端，日均触达4亿城市主流消费人群，其中26-45岁核心消费群体占比达71%，家庭月收入超1万元的高价值人群比例达68% </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[48]</w:t>
      </w:r>
      <w:r>
        <w:rPr>
          <w:rFonts w:eastAsia="宋体" w:ascii="Times New Roman" w:hAnsi="Times New Roman" w:cs="Times New Roman"/>
          <w:b w:val="false"/>
          <w:i w:val="false"/>
          <w:sz w:val="22"/>
        </w:rPr>
        <w:t>。这种对经济主力消费群体的锁定能力，使电梯媒体成为品牌抢占用户心智的核心阵地。</w:t>
      </w:r>
    </w:p>
    <w:p>
      <w:pPr>
        <w:spacing w:line="240" w:lineRule="auto" w:before="120" w:after="120"/>
        <w:ind w:firstLine="0"/>
        <w:jc w:val="left"/>
      </w:pPr>
      <w:r>
        <w:rPr>
          <w:rFonts w:eastAsia="宋体" w:ascii="Times New Roman" w:hAnsi="Times New Roman" w:cs="Times New Roman"/>
          <w:b w:val="false"/>
          <w:i w:val="false"/>
          <w:sz w:val="22"/>
        </w:rPr>
        <w:t>数字化升级进一步强化竞争优势，形成"四可"能力体系：</w:t>
      </w:r>
    </w:p>
    <w:p>
      <w:pPr>
        <w:numPr>
          <w:ilvl w:val="0"/>
          <w:numId w:val="1"/>
        </w:numPr>
        <w:spacing w:line="240" w:lineRule="auto" w:before="120" w:after="120"/>
        <w:jc w:val="left"/>
      </w:pPr>
      <w:r>
        <w:rPr>
          <w:rFonts w:eastAsia="宋体" w:ascii="Times New Roman" w:hAnsi="Times New Roman" w:cs="Times New Roman"/>
          <w:b w:val="true"/>
          <w:i w:val="false"/>
          <w:sz w:val="22"/>
        </w:rPr>
        <w:t>可精准</w:t>
      </w:r>
      <w:r>
        <w:rPr>
          <w:rFonts w:eastAsia="宋体" w:ascii="Times New Roman" w:hAnsi="Times New Roman" w:cs="Times New Roman"/>
          <w:b w:val="false"/>
          <w:i w:val="false"/>
          <w:sz w:val="22"/>
        </w:rPr>
        <w:t>：通过阿里数据系统实现"千楼千面"精准分发，依据楼宇人群画像定制内容</w:t>
      </w:r>
      <w:r>
        <w:rPr>
          <w:rFonts w:eastAsia="宋体" w:ascii="Times New Roman" w:hAnsi="Times New Roman" w:cs="Times New Roman"/>
          <w:b w:val="false"/>
          <w:i w:val="false"/>
          <w:sz w:val="22"/>
          <w:vertAlign w:val="superscript"/>
        </w:rPr>
        <w:t>[8]</w:t>
      </w:r>
    </w:p>
    <w:p>
      <w:pPr>
        <w:numPr>
          <w:ilvl w:val="0"/>
          <w:numId w:val="1"/>
        </w:numPr>
        <w:spacing w:line="240" w:lineRule="auto" w:before="120" w:after="120"/>
        <w:jc w:val="left"/>
      </w:pPr>
      <w:r>
        <w:rPr>
          <w:rFonts w:eastAsia="宋体" w:ascii="Times New Roman" w:hAnsi="Times New Roman" w:cs="Times New Roman"/>
          <w:b w:val="true"/>
          <w:i w:val="false"/>
          <w:sz w:val="22"/>
        </w:rPr>
        <w:t>可归因</w:t>
      </w:r>
      <w:r>
        <w:rPr>
          <w:rFonts w:eastAsia="宋体" w:ascii="Times New Roman" w:hAnsi="Times New Roman" w:cs="Times New Roman"/>
          <w:b w:val="false"/>
          <w:i w:val="false"/>
          <w:sz w:val="22"/>
        </w:rPr>
        <w:t>：打通天猫/京东/抖音数据链路，量化曝光到转化的全流程效果</w:t>
      </w:r>
      <w:r>
        <w:rPr>
          <w:rFonts w:eastAsia="宋体" w:ascii="Times New Roman" w:hAnsi="Times New Roman" w:cs="Times New Roman"/>
          <w:b w:val="false"/>
          <w:i w:val="false"/>
          <w:sz w:val="22"/>
          <w:vertAlign w:val="superscript"/>
        </w:rPr>
        <w:t>[8]</w:t>
      </w:r>
    </w:p>
    <w:p>
      <w:pPr>
        <w:numPr>
          <w:ilvl w:val="0"/>
          <w:numId w:val="1"/>
        </w:numPr>
        <w:spacing w:line="240" w:lineRule="auto" w:before="120" w:after="120"/>
        <w:jc w:val="left"/>
      </w:pPr>
      <w:r>
        <w:rPr>
          <w:rFonts w:eastAsia="宋体" w:ascii="Times New Roman" w:hAnsi="Times New Roman" w:cs="Times New Roman"/>
          <w:b w:val="true"/>
          <w:i w:val="false"/>
          <w:sz w:val="22"/>
        </w:rPr>
        <w:t>可互动</w:t>
      </w:r>
      <w:r>
        <w:rPr>
          <w:rFonts w:eastAsia="宋体" w:ascii="Times New Roman" w:hAnsi="Times New Roman" w:cs="Times New Roman"/>
          <w:b w:val="false"/>
          <w:i w:val="false"/>
          <w:sz w:val="22"/>
        </w:rPr>
        <w:t>：创新NFC"碰一下"技术，实现线下曝光向线上转化的即时闭环</w:t>
      </w:r>
      <w:r>
        <w:rPr>
          <w:rFonts w:eastAsia="宋体" w:ascii="Times New Roman" w:hAnsi="Times New Roman" w:cs="Times New Roman"/>
          <w:b w:val="false"/>
          <w:i w:val="false"/>
          <w:sz w:val="22"/>
          <w:vertAlign w:val="superscript"/>
        </w:rPr>
        <w:t>[8]</w:t>
      </w:r>
    </w:p>
    <w:p>
      <w:pPr>
        <w:numPr>
          <w:ilvl w:val="0"/>
          <w:numId w:val="1"/>
        </w:numPr>
        <w:spacing w:line="240" w:lineRule="auto" w:before="120" w:after="120"/>
        <w:jc w:val="left"/>
      </w:pPr>
      <w:r>
        <w:rPr>
          <w:rFonts w:eastAsia="宋体" w:ascii="Times New Roman" w:hAnsi="Times New Roman" w:cs="Times New Roman"/>
          <w:b w:val="true"/>
          <w:i w:val="false"/>
          <w:sz w:val="22"/>
        </w:rPr>
        <w:t>可优化</w:t>
      </w:r>
      <w:r>
        <w:rPr>
          <w:rFonts w:eastAsia="宋体" w:ascii="Times New Roman" w:hAnsi="Times New Roman" w:cs="Times New Roman"/>
          <w:b w:val="false"/>
          <w:i w:val="false"/>
          <w:sz w:val="22"/>
        </w:rPr>
        <w:t>：AI系统实时监测素材效果，动态优化投放策略</w:t>
      </w:r>
      <w:r>
        <w:rPr>
          <w:rFonts w:eastAsia="宋体" w:ascii="Times New Roman" w:hAnsi="Times New Roman" w:cs="Times New Roman"/>
          <w:b w:val="false"/>
          <w:i w:val="false"/>
          <w:sz w:val="22"/>
          <w:vertAlign w:val="superscript"/>
        </w:rPr>
        <w:t>[8]</w:t>
      </w:r>
    </w:p>
    <w:p>
      <w:pPr>
        <w:spacing w:line="240" w:lineRule="auto" w:before="120" w:after="120"/>
        <w:ind w:firstLine="0"/>
        <w:jc w:val="left"/>
      </w:pPr>
      <w:r>
        <w:rPr>
          <w:rFonts w:eastAsia="宋体" w:ascii="Times New Roman" w:hAnsi="Times New Roman" w:cs="Times New Roman"/>
          <w:b w:val="false"/>
          <w:i w:val="false"/>
          <w:sz w:val="22"/>
        </w:rPr>
        <w:t>相较于其他户外媒体形态，电梯媒体在关键效果指标上具有显著优势：</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false"/>
                <w:i w:val="false"/>
                <w:sz w:val="22"/>
              </w:rPr>
              <w:t>指标维度</w:t>
            </w:r>
          </w:p>
        </w:tc>
        <w:tc>
          <w:tcPr>
            <w:tcW w:type="dxa" w:w="2448"/>
            <w:vAlign w:val="center"/>
          </w:tcPr>
          <w:p>
            <w:r>
              <w:rPr>
                <w:rFonts w:eastAsia="宋体" w:ascii="Times New Roman" w:hAnsi="Times New Roman" w:cs="Times New Roman"/>
                <w:b w:val="false"/>
                <w:i w:val="false"/>
                <w:sz w:val="22"/>
              </w:rPr>
              <w:t>电梯媒体</w:t>
            </w:r>
          </w:p>
        </w:tc>
        <w:tc>
          <w:tcPr>
            <w:tcW w:type="dxa" w:w="2448"/>
            <w:vAlign w:val="center"/>
          </w:tcPr>
          <w:p>
            <w:r>
              <w:rPr>
                <w:rFonts w:eastAsia="宋体" w:ascii="Times New Roman" w:hAnsi="Times New Roman" w:cs="Times New Roman"/>
                <w:b w:val="false"/>
                <w:i w:val="false"/>
                <w:sz w:val="22"/>
              </w:rPr>
              <w:t>户外大屏</w:t>
            </w:r>
          </w:p>
        </w:tc>
        <w:tc>
          <w:tcPr>
            <w:tcW w:type="dxa" w:w="2448"/>
            <w:vAlign w:val="center"/>
          </w:tcPr>
          <w:p>
            <w:r>
              <w:rPr>
                <w:rFonts w:eastAsia="宋体" w:ascii="Times New Roman" w:hAnsi="Times New Roman" w:cs="Times New Roman"/>
                <w:b w:val="false"/>
                <w:i w:val="false"/>
                <w:sz w:val="22"/>
              </w:rPr>
              <w:t>交通媒体</w:t>
            </w:r>
          </w:p>
        </w:tc>
        <w:tc>
          <w:tcPr>
            <w:tcW w:type="dxa" w:w="2448"/>
            <w:vAlign w:val="center"/>
          </w:tcPr>
          <w:p>
            <w:r>
              <w:rPr>
                <w:rFonts w:eastAsia="宋体" w:ascii="Times New Roman" w:hAnsi="Times New Roman" w:cs="Times New Roman"/>
                <w:b w:val="false"/>
                <w:i w:val="false"/>
                <w:sz w:val="22"/>
              </w:rPr>
              <w:t>影院广告</w:t>
            </w:r>
          </w:p>
        </w:tc>
      </w:tr>
      <w:tr>
        <w:tc>
          <w:tcPr>
            <w:tcW w:type="dxa" w:w="2448"/>
            <w:vAlign w:val="center"/>
          </w:tcPr>
          <w:p>
            <w:r>
              <w:rPr>
                <w:rFonts w:eastAsia="宋体" w:ascii="Times New Roman" w:hAnsi="Times New Roman" w:cs="Times New Roman"/>
                <w:b w:val="false"/>
                <w:i w:val="false"/>
                <w:sz w:val="22"/>
              </w:rPr>
              <w:t>日均到达率</w:t>
            </w:r>
          </w:p>
        </w:tc>
        <w:tc>
          <w:tcPr>
            <w:tcW w:type="dxa" w:w="2448"/>
            <w:vAlign w:val="center"/>
          </w:tcPr>
          <w:p>
            <w:r>
              <w:rPr>
                <w:rFonts w:eastAsia="宋体" w:ascii="Times New Roman" w:hAnsi="Times New Roman" w:cs="Times New Roman"/>
                <w:b w:val="false"/>
                <w:i w:val="false"/>
                <w:sz w:val="22"/>
              </w:rPr>
              <w:t>79%</w:t>
            </w:r>
          </w:p>
        </w:tc>
        <w:tc>
          <w:tcPr>
            <w:tcW w:type="dxa" w:w="2448"/>
            <w:vAlign w:val="center"/>
          </w:tcPr>
          <w:p>
            <w:r>
              <w:rPr>
                <w:rFonts w:eastAsia="宋体" w:ascii="Times New Roman" w:hAnsi="Times New Roman" w:cs="Times New Roman"/>
                <w:b w:val="false"/>
                <w:i w:val="false"/>
                <w:sz w:val="22"/>
              </w:rPr>
              <w:t>35%</w:t>
            </w:r>
          </w:p>
        </w:tc>
        <w:tc>
          <w:tcPr>
            <w:tcW w:type="dxa" w:w="2448"/>
            <w:vAlign w:val="center"/>
          </w:tcPr>
          <w:p>
            <w:r>
              <w:rPr>
                <w:rFonts w:eastAsia="宋体" w:ascii="Times New Roman" w:hAnsi="Times New Roman" w:cs="Times New Roman"/>
                <w:b w:val="false"/>
                <w:i w:val="false"/>
                <w:sz w:val="22"/>
              </w:rPr>
              <w:t>42%</w:t>
            </w:r>
          </w:p>
        </w:tc>
        <w:tc>
          <w:tcPr>
            <w:tcW w:type="dxa" w:w="2448"/>
            <w:vAlign w:val="center"/>
          </w:tcPr>
          <w:p>
            <w:r>
              <w:rPr>
                <w:rFonts w:eastAsia="宋体" w:ascii="Times New Roman" w:hAnsi="Times New Roman" w:cs="Times New Roman"/>
                <w:b w:val="false"/>
                <w:i w:val="false"/>
                <w:sz w:val="22"/>
              </w:rPr>
              <w:t>28%</w:t>
            </w:r>
          </w:p>
        </w:tc>
      </w:tr>
      <w:tr>
        <w:tc>
          <w:tcPr>
            <w:tcW w:type="dxa" w:w="2448"/>
            <w:vAlign w:val="center"/>
          </w:tcPr>
          <w:p>
            <w:r>
              <w:rPr>
                <w:rFonts w:eastAsia="宋体" w:ascii="Times New Roman" w:hAnsi="Times New Roman" w:cs="Times New Roman"/>
                <w:b w:val="false"/>
                <w:i w:val="false"/>
                <w:sz w:val="22"/>
              </w:rPr>
              <w:t>广告关注度</w:t>
            </w:r>
          </w:p>
        </w:tc>
        <w:tc>
          <w:tcPr>
            <w:tcW w:type="dxa" w:w="2448"/>
            <w:vAlign w:val="center"/>
          </w:tcPr>
          <w:p>
            <w:r>
              <w:rPr>
                <w:rFonts w:eastAsia="宋体" w:ascii="Times New Roman" w:hAnsi="Times New Roman" w:cs="Times New Roman"/>
                <w:b w:val="false"/>
                <w:i w:val="false"/>
                <w:sz w:val="22"/>
              </w:rPr>
              <w:t>45%</w:t>
            </w:r>
          </w:p>
        </w:tc>
        <w:tc>
          <w:tcPr>
            <w:tcW w:type="dxa" w:w="2448"/>
            <w:vAlign w:val="center"/>
          </w:tcPr>
          <w:p>
            <w:r>
              <w:rPr>
                <w:rFonts w:eastAsia="宋体" w:ascii="Times New Roman" w:hAnsi="Times New Roman" w:cs="Times New Roman"/>
                <w:b w:val="false"/>
                <w:i w:val="false"/>
                <w:sz w:val="22"/>
              </w:rPr>
              <w:t>22%</w:t>
            </w:r>
          </w:p>
        </w:tc>
        <w:tc>
          <w:tcPr>
            <w:tcW w:type="dxa" w:w="2448"/>
            <w:vAlign w:val="center"/>
          </w:tcPr>
          <w:p>
            <w:r>
              <w:rPr>
                <w:rFonts w:eastAsia="宋体" w:ascii="Times New Roman" w:hAnsi="Times New Roman" w:cs="Times New Roman"/>
                <w:b w:val="false"/>
                <w:i w:val="false"/>
                <w:sz w:val="22"/>
              </w:rPr>
              <w:t>18%</w:t>
            </w:r>
          </w:p>
        </w:tc>
        <w:tc>
          <w:tcPr>
            <w:tcW w:type="dxa" w:w="2448"/>
            <w:vAlign w:val="center"/>
          </w:tcPr>
          <w:p>
            <w:r>
              <w:rPr>
                <w:rFonts w:eastAsia="宋体" w:ascii="Times New Roman" w:hAnsi="Times New Roman" w:cs="Times New Roman"/>
                <w:b w:val="false"/>
                <w:i w:val="false"/>
                <w:sz w:val="22"/>
              </w:rPr>
              <w:t>38%</w:t>
            </w:r>
          </w:p>
        </w:tc>
      </w:tr>
      <w:tr>
        <w:tc>
          <w:tcPr>
            <w:tcW w:type="dxa" w:w="2448"/>
            <w:vAlign w:val="center"/>
          </w:tcPr>
          <w:p>
            <w:r>
              <w:rPr>
                <w:rFonts w:eastAsia="宋体" w:ascii="Times New Roman" w:hAnsi="Times New Roman" w:cs="Times New Roman"/>
                <w:b w:val="false"/>
                <w:i w:val="false"/>
                <w:sz w:val="22"/>
              </w:rPr>
              <w:t>人均广告记忆数</w:t>
            </w:r>
          </w:p>
        </w:tc>
        <w:tc>
          <w:tcPr>
            <w:tcW w:type="dxa" w:w="2448"/>
            <w:vAlign w:val="center"/>
          </w:tcPr>
          <w:p>
            <w:r>
              <w:rPr>
                <w:rFonts w:eastAsia="宋体" w:ascii="Times New Roman" w:hAnsi="Times New Roman" w:cs="Times New Roman"/>
                <w:b w:val="false"/>
                <w:i w:val="false"/>
                <w:sz w:val="22"/>
              </w:rPr>
              <w:t>3.29</w:t>
            </w:r>
          </w:p>
        </w:tc>
        <w:tc>
          <w:tcPr>
            <w:tcW w:type="dxa" w:w="2448"/>
            <w:vAlign w:val="center"/>
          </w:tcPr>
          <w:p>
            <w:r>
              <w:rPr>
                <w:rFonts w:eastAsia="宋体" w:ascii="Times New Roman" w:hAnsi="Times New Roman" w:cs="Times New Roman"/>
                <w:b w:val="false"/>
                <w:i w:val="false"/>
                <w:sz w:val="22"/>
              </w:rPr>
              <w:t>1.7</w:t>
            </w:r>
          </w:p>
        </w:tc>
        <w:tc>
          <w:tcPr>
            <w:tcW w:type="dxa" w:w="2448"/>
            <w:vAlign w:val="center"/>
          </w:tcPr>
          <w:p>
            <w:r>
              <w:rPr>
                <w:rFonts w:eastAsia="宋体" w:ascii="Times New Roman" w:hAnsi="Times New Roman" w:cs="Times New Roman"/>
                <w:b w:val="false"/>
                <w:i w:val="false"/>
                <w:sz w:val="22"/>
              </w:rPr>
              <w:t>1.2</w:t>
            </w:r>
          </w:p>
        </w:tc>
        <w:tc>
          <w:tcPr>
            <w:tcW w:type="dxa" w:w="2448"/>
            <w:vAlign w:val="center"/>
          </w:tcPr>
          <w:p>
            <w:r>
              <w:rPr>
                <w:rFonts w:eastAsia="宋体" w:ascii="Times New Roman" w:hAnsi="Times New Roman" w:cs="Times New Roman"/>
                <w:b w:val="false"/>
                <w:i w:val="false"/>
                <w:sz w:val="22"/>
              </w:rPr>
              <w:t>2.1</w:t>
            </w:r>
          </w:p>
        </w:tc>
      </w:tr>
    </w:tbl>
    <w:p>
      <w:pPr>
        <w:spacing w:line="240" w:lineRule="auto" w:before="120" w:after="120"/>
        <w:ind w:firstLine="0"/>
        <w:jc w:val="left"/>
      </w:pPr>
      <w:r>
        <w:rPr>
          <w:rFonts w:eastAsia="宋体" w:ascii="Times New Roman" w:hAnsi="Times New Roman" w:cs="Times New Roman"/>
          <w:b w:val="false"/>
          <w:i w:val="true"/>
          <w:sz w:val="22"/>
        </w:rPr>
        <w:t>数据来源：凯度《中国城市居民广告关注度研究》</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true"/>
          <w:sz w:val="22"/>
        </w:rPr>
        <w:t>、益普索Ipsos广告语调研</w:t>
      </w:r>
      <w:r>
        <w:rPr>
          <w:rFonts w:eastAsia="宋体" w:ascii="Times New Roman" w:hAnsi="Times New Roman" w:cs="Times New Roman"/>
          <w:b w:val="false"/>
          <w:i w:val="false"/>
          <w:sz w:val="22"/>
          <w:vertAlign w:val="superscript"/>
        </w:rPr>
        <w:t>[8]</w:t>
      </w:r>
    </w:p>
    <w:p>
      <w:pPr>
        <w:spacing w:line="240" w:lineRule="auto" w:before="120" w:after="120"/>
        <w:ind w:firstLine="0"/>
        <w:jc w:val="left"/>
      </w:pPr>
      <w:r>
        <w:rPr>
          <w:rFonts w:eastAsia="宋体" w:ascii="Times New Roman" w:hAnsi="Times New Roman" w:cs="Times New Roman"/>
          <w:b w:val="false"/>
          <w:i w:val="false"/>
          <w:sz w:val="22"/>
        </w:rPr>
        <w:t>这种组合优势使电梯媒体成为品牌建设的最有效渠道。艾瑞咨询调研显示，在广告主的户外媒介选择倾向中，楼宇电梯媒体连续两年位居首位</w:t>
      </w:r>
      <w:r>
        <w:rPr>
          <w:rFonts w:eastAsia="宋体" w:ascii="Times New Roman" w:hAnsi="Times New Roman" w:cs="Times New Roman"/>
          <w:b w:val="false"/>
          <w:i w:val="false"/>
          <w:sz w:val="22"/>
          <w:vertAlign w:val="superscript"/>
        </w:rPr>
        <w:t>[49]</w:t>
      </w:r>
      <w:r>
        <w:rPr>
          <w:rFonts w:eastAsia="宋体" w:ascii="Times New Roman" w:hAnsi="Times New Roman" w:cs="Times New Roman"/>
          <w:b w:val="false"/>
          <w:i w:val="false"/>
          <w:sz w:val="22"/>
        </w:rPr>
        <w:t>。特别是在新品上市、品牌焕新等需要饱和攻击的市场教育阶段，电梯媒体的"强制触达+高频曝光"特性可快速建立品牌认知，形成难以复制的竞争壁垒</w:t>
      </w:r>
      <w:r>
        <w:rPr>
          <w:rFonts w:eastAsia="宋体" w:ascii="Times New Roman" w:hAnsi="Times New Roman" w:cs="Times New Roman"/>
          <w:b w:val="false"/>
          <w:i w:val="false"/>
          <w:sz w:val="22"/>
          <w:vertAlign w:val="superscript"/>
        </w:rPr>
        <w:t>[50]</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2.3 品效合一与数字化升级</w:t>
      </w:r>
    </w:p>
    <w:p>
      <w:pPr>
        <w:spacing w:line="240" w:lineRule="auto" w:before="120" w:after="120"/>
        <w:ind w:firstLine="0"/>
        <w:jc w:val="left"/>
      </w:pPr>
      <w:r>
        <w:rPr>
          <w:rFonts w:eastAsia="宋体" w:ascii="Times New Roman" w:hAnsi="Times New Roman" w:cs="Times New Roman"/>
          <w:b w:val="false"/>
          <w:i w:val="false"/>
          <w:sz w:val="22"/>
        </w:rPr>
        <w:t>在广告行业加速变革的背景下，品效合一已成为核心趋势，要求品牌广告与效果广告深度融合，既强化消费者心智又实现可量化的转化闭环。分众传媒通过持续的数字化升级，构建了"可精准、可归因、可互动、可优化"（简称"四可"）的全链路能力，推动电梯媒体从单向传播向智能营销平台转型</w:t>
      </w:r>
      <w:r>
        <w:rPr>
          <w:rFonts w:eastAsia="宋体" w:ascii="Times New Roman" w:hAnsi="Times New Roman" w:cs="Times New Roman"/>
          <w:b w:val="false"/>
          <w:i w:val="false"/>
          <w:sz w:val="22"/>
          <w:vertAlign w:val="superscript"/>
        </w:rPr>
        <w:t>[51]</w:t>
      </w:r>
      <w:r>
        <w:rPr>
          <w:rFonts w:eastAsia="宋体" w:ascii="Times New Roman" w:hAnsi="Times New Roman" w:cs="Times New Roman"/>
          <w:b w:val="false"/>
          <w:i w:val="false"/>
          <w:sz w:val="22"/>
        </w:rPr>
        <w:t>。2018年阿里巴巴战略入股后，分众完成从插卡播放到云端在线推送的技术迭代，实现广告内容实时更新与播放状态远程监控，奠定数字化基础</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vertAlign w:val="superscript"/>
        </w:rPr>
        <w:t>[24]</w:t>
      </w:r>
      <w:r>
        <w:rPr>
          <w:rFonts w:eastAsia="宋体" w:ascii="Times New Roman" w:hAnsi="Times New Roman" w:cs="Times New Roman"/>
          <w:b w:val="false"/>
          <w:i w:val="false"/>
          <w:sz w:val="22"/>
        </w:rPr>
        <w:t>。关键升级体现在三大维度：</w:t>
      </w:r>
    </w:p>
    <w:p>
      <w:pPr>
        <w:spacing w:line="240" w:lineRule="auto" w:before="120" w:after="120"/>
        <w:ind w:left="0"/>
        <w:jc w:val="left"/>
      </w:pPr>
      <w:r>
        <w:rPr>
          <w:rFonts w:eastAsia="宋体" w:ascii="宋体" w:hAnsi="宋体" w:cs="宋体"/>
          <w:b w:val="true"/>
          <w:i w:val="false"/>
          <w:sz w:val="24"/>
        </w:rPr>
        <w:t>精准投放与数据归因</w:t>
      </w:r>
    </w:p>
    <w:p>
      <w:pPr>
        <w:spacing w:line="240" w:lineRule="auto" w:before="120" w:after="120"/>
        <w:ind w:firstLine="0"/>
        <w:jc w:val="left"/>
      </w:pPr>
      <w:r>
        <w:rPr>
          <w:rFonts w:eastAsia="宋体" w:ascii="Times New Roman" w:hAnsi="Times New Roman" w:cs="Times New Roman"/>
          <w:b w:val="false"/>
          <w:i w:val="false"/>
          <w:sz w:val="22"/>
        </w:rPr>
        <w:t>分众依托"千楼千面"系统，通过分析楼宇社区位置、人群特征及潜客浓度等200+标签，实现规模化精准定向。例如，高端美妆品牌可精准投放在单价10万元/㎡以上的住宅电梯，而快消品侧重社区场景</w:t>
      </w:r>
      <w:r>
        <w:rPr>
          <w:rFonts w:eastAsia="宋体" w:ascii="Times New Roman" w:hAnsi="Times New Roman" w:cs="Times New Roman"/>
          <w:b w:val="false"/>
          <w:i w:val="false"/>
          <w:sz w:val="22"/>
          <w:vertAlign w:val="superscript"/>
        </w:rPr>
        <w:t>[52]</w:t>
      </w:r>
      <w:r>
        <w:rPr>
          <w:rFonts w:eastAsia="宋体" w:ascii="Times New Roman" w:hAnsi="Times New Roman" w:cs="Times New Roman"/>
          <w:b w:val="false"/>
          <w:i w:val="false"/>
          <w:sz w:val="22"/>
        </w:rPr>
        <w:t>。与天猫、抖音双平台数据打通后，建立全域衡量体系，追踪曝光人群的加购、购买等行为路径，解决传统户外广告效果"黑箱"问题</w:t>
      </w:r>
      <w:r>
        <w:rPr>
          <w:rFonts w:eastAsia="宋体" w:ascii="Times New Roman" w:hAnsi="Times New Roman" w:cs="Times New Roman"/>
          <w:b w:val="false"/>
          <w:i w:val="false"/>
          <w:sz w:val="22"/>
          <w:vertAlign w:val="superscript"/>
        </w:rPr>
        <w:t>[53]</w:t>
      </w:r>
      <w:r>
        <w:rPr>
          <w:rFonts w:eastAsia="宋体" w:ascii="Times New Roman" w:hAnsi="Times New Roman" w:cs="Times New Roman"/>
          <w:b w:val="false"/>
          <w:i w:val="false"/>
          <w:sz w:val="22"/>
          <w:vertAlign w:val="superscript"/>
        </w:rPr>
        <w:t>[54]</w:t>
      </w:r>
      <w:r>
        <w:rPr>
          <w:rFonts w:eastAsia="宋体" w:ascii="Times New Roman" w:hAnsi="Times New Roman" w:cs="Times New Roman"/>
          <w:b w:val="false"/>
          <w:i w:val="false"/>
          <w:sz w:val="22"/>
        </w:rPr>
        <w:t>。2025年推出的"分众智投"产品，将空刊资源纳入DSP流量池，支持客户自主选择投放，满足爆款视频加热、电商人群蓄水等需求</w:t>
      </w:r>
      <w:r>
        <w:rPr>
          <w:rFonts w:eastAsia="宋体" w:ascii="Times New Roman" w:hAnsi="Times New Roman" w:cs="Times New Roman"/>
          <w:b w:val="false"/>
          <w:i w:val="false"/>
          <w:sz w:val="22"/>
          <w:vertAlign w:val="superscript"/>
        </w:rPr>
        <w:t>[51]</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交互创新与转化闭环</w:t>
      </w:r>
    </w:p>
    <w:p>
      <w:pPr>
        <w:spacing w:line="240" w:lineRule="auto" w:before="120" w:after="120"/>
        <w:ind w:firstLine="0"/>
        <w:jc w:val="left"/>
      </w:pPr>
      <w:r>
        <w:rPr>
          <w:rFonts w:eastAsia="宋体" w:ascii="Times New Roman" w:hAnsi="Times New Roman" w:cs="Times New Roman"/>
          <w:b w:val="false"/>
          <w:i w:val="false"/>
          <w:sz w:val="22"/>
        </w:rPr>
        <w:t>2025年与支付宝联合推出的NFC"碰一碰"技术，是品效协同的关键突破。用户在电梯中解锁手机轻触屏幕侧蓝环，即可瞬时领取红包或优惠券，直通淘宝选购或门店核销，日均互动量达140万次</w:t>
      </w:r>
      <w:r>
        <w:rPr>
          <w:rFonts w:eastAsia="宋体" w:ascii="Times New Roman" w:hAnsi="Times New Roman" w:cs="Times New Roman"/>
          <w:b w:val="false"/>
          <w:i w:val="false"/>
          <w:sz w:val="22"/>
          <w:vertAlign w:val="superscript"/>
        </w:rPr>
        <w:t>[51]</w:t>
      </w:r>
      <w:r>
        <w:rPr>
          <w:rFonts w:eastAsia="宋体" w:ascii="Times New Roman" w:hAnsi="Times New Roman" w:cs="Times New Roman"/>
          <w:b w:val="false"/>
          <w:i w:val="false"/>
          <w:sz w:val="22"/>
          <w:vertAlign w:val="superscript"/>
        </w:rPr>
        <w:t>[55]</w:t>
      </w:r>
      <w:r>
        <w:rPr>
          <w:rFonts w:eastAsia="宋体" w:ascii="Times New Roman" w:hAnsi="Times New Roman" w:cs="Times New Roman"/>
          <w:b w:val="false"/>
          <w:i w:val="false"/>
          <w:sz w:val="22"/>
        </w:rPr>
        <w:t>。该技术通过三步操作（解锁→触碰→领券）简化路径，交互效率提升80%，且不受电梯信号限制</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。变现场景覆盖八大路径：</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true"/>
                <w:i w:val="false"/>
                <w:sz w:val="22"/>
              </w:rPr>
              <w:t>场景类型</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true"/>
                <w:i w:val="false"/>
                <w:sz w:val="22"/>
              </w:rPr>
              <w:t>转化逻辑</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true"/>
                <w:i w:val="false"/>
                <w:sz w:val="22"/>
              </w:rPr>
              <w:t>案例效果</w:t>
            </w:r>
            <w:r>
              <w:rPr>
                <w:rFonts w:eastAsia="宋体" w:ascii="Times New Roman" w:hAnsi="Times New Roman" w:cs="Times New Roman"/>
                <w:b w:val="false"/>
                <w:i w:val="false"/>
                <w:sz w:val="22"/>
              </w:rPr>
              <w:t/>
            </w:r>
          </w:p>
        </w:tc>
      </w:tr>
      <w:tr>
        <w:tc>
          <w:tcPr>
            <w:tcW w:type="dxa" w:w="4080"/>
            <w:vAlign w:val="center"/>
          </w:tcPr>
          <w:p>
            <w:r>
              <w:rPr>
                <w:rFonts w:eastAsia="宋体" w:ascii="Times New Roman" w:hAnsi="Times New Roman" w:cs="Times New Roman"/>
                <w:b w:val="false"/>
                <w:i w:val="false"/>
                <w:sz w:val="22"/>
              </w:rPr>
              <w:t>红包领取</w:t>
            </w:r>
          </w:p>
        </w:tc>
        <w:tc>
          <w:tcPr>
            <w:tcW w:type="dxa" w:w="4080"/>
            <w:vAlign w:val="center"/>
          </w:tcPr>
          <w:p>
            <w:r>
              <w:rPr>
                <w:rFonts w:eastAsia="宋体" w:ascii="Times New Roman" w:hAnsi="Times New Roman" w:cs="Times New Roman"/>
                <w:b w:val="false"/>
                <w:i w:val="false"/>
                <w:sz w:val="22"/>
              </w:rPr>
              <w:t>现金激励激活初始参与</w:t>
            </w:r>
          </w:p>
        </w:tc>
        <w:tc>
          <w:tcPr>
            <w:tcW w:type="dxa" w:w="4080"/>
            <w:vAlign w:val="center"/>
          </w:tcPr>
          <w:p>
            <w:r>
              <w:rPr>
                <w:rFonts w:eastAsia="宋体" w:ascii="Times New Roman" w:hAnsi="Times New Roman" w:cs="Times New Roman"/>
                <w:b w:val="false"/>
                <w:i w:val="false"/>
                <w:sz w:val="22"/>
              </w:rPr>
              <w:t>首日用户参与率超40%</w:t>
            </w:r>
          </w:p>
        </w:tc>
      </w:tr>
      <w:tr>
        <w:tc>
          <w:tcPr>
            <w:tcW w:type="dxa" w:w="4080"/>
            <w:vAlign w:val="center"/>
          </w:tcPr>
          <w:p>
            <w:r>
              <w:rPr>
                <w:rFonts w:eastAsia="宋体" w:ascii="Times New Roman" w:hAnsi="Times New Roman" w:cs="Times New Roman"/>
                <w:b w:val="false"/>
                <w:i w:val="false"/>
                <w:sz w:val="22"/>
              </w:rPr>
              <w:t>电商直购</w:t>
            </w:r>
          </w:p>
        </w:tc>
        <w:tc>
          <w:tcPr>
            <w:tcW w:type="dxa" w:w="4080"/>
            <w:vAlign w:val="center"/>
          </w:tcPr>
          <w:p>
            <w:r>
              <w:rPr>
                <w:rFonts w:eastAsia="宋体" w:ascii="Times New Roman" w:hAnsi="Times New Roman" w:cs="Times New Roman"/>
                <w:b w:val="false"/>
                <w:i w:val="false"/>
                <w:sz w:val="22"/>
              </w:rPr>
              <w:t>跳转平台完成即时交易</w:t>
            </w:r>
          </w:p>
        </w:tc>
        <w:tc>
          <w:tcPr>
            <w:tcW w:type="dxa" w:w="4080"/>
            <w:vAlign w:val="center"/>
          </w:tcPr>
          <w:p>
            <w:r>
              <w:rPr>
                <w:rFonts w:eastAsia="宋体" w:ascii="Times New Roman" w:hAnsi="Times New Roman" w:cs="Times New Roman"/>
                <w:b w:val="false"/>
                <w:i w:val="false"/>
                <w:sz w:val="22"/>
              </w:rPr>
              <w:t xml:space="preserve">杭州试点领券率68.6% </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
            </w:r>
          </w:p>
        </w:tc>
      </w:tr>
      <w:tr>
        <w:tc>
          <w:tcPr>
            <w:tcW w:type="dxa" w:w="4080"/>
            <w:vAlign w:val="center"/>
          </w:tcPr>
          <w:p>
            <w:r>
              <w:rPr>
                <w:rFonts w:eastAsia="宋体" w:ascii="Times New Roman" w:hAnsi="Times New Roman" w:cs="Times New Roman"/>
                <w:b w:val="false"/>
                <w:i w:val="false"/>
                <w:sz w:val="22"/>
              </w:rPr>
              <w:t>到店核销</w:t>
            </w:r>
          </w:p>
        </w:tc>
        <w:tc>
          <w:tcPr>
            <w:tcW w:type="dxa" w:w="4080"/>
            <w:vAlign w:val="center"/>
          </w:tcPr>
          <w:p>
            <w:r>
              <w:rPr>
                <w:rFonts w:eastAsia="宋体" w:ascii="Times New Roman" w:hAnsi="Times New Roman" w:cs="Times New Roman"/>
                <w:b w:val="false"/>
                <w:i w:val="false"/>
                <w:sz w:val="22"/>
              </w:rPr>
              <w:t>优惠券引导线下消费</w:t>
            </w:r>
          </w:p>
        </w:tc>
        <w:tc>
          <w:tcPr>
            <w:tcW w:type="dxa" w:w="4080"/>
            <w:vAlign w:val="center"/>
          </w:tcPr>
          <w:p>
            <w:r>
              <w:rPr>
                <w:rFonts w:eastAsia="宋体" w:ascii="Times New Roman" w:hAnsi="Times New Roman" w:cs="Times New Roman"/>
                <w:b w:val="false"/>
                <w:i w:val="false"/>
                <w:sz w:val="22"/>
              </w:rPr>
              <w:t xml:space="preserve">三得利日均活跃率+65% </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false"/>
                <w:sz w:val="22"/>
              </w:rPr>
              <w:t/>
            </w:r>
          </w:p>
        </w:tc>
      </w:tr>
      <w:tr>
        <w:tc>
          <w:tcPr>
            <w:tcW w:type="dxa" w:w="4080"/>
            <w:vAlign w:val="center"/>
          </w:tcPr>
          <w:p>
            <w:r>
              <w:rPr>
                <w:rFonts w:eastAsia="宋体" w:ascii="Times New Roman" w:hAnsi="Times New Roman" w:cs="Times New Roman"/>
                <w:b w:val="false"/>
                <w:i w:val="false"/>
                <w:sz w:val="22"/>
              </w:rPr>
              <w:t>会员拉新</w:t>
            </w:r>
          </w:p>
        </w:tc>
        <w:tc>
          <w:tcPr>
            <w:tcW w:type="dxa" w:w="4080"/>
            <w:vAlign w:val="center"/>
          </w:tcPr>
          <w:p>
            <w:r>
              <w:rPr>
                <w:rFonts w:eastAsia="宋体" w:ascii="Times New Roman" w:hAnsi="Times New Roman" w:cs="Times New Roman"/>
                <w:b w:val="false"/>
                <w:i w:val="false"/>
                <w:sz w:val="22"/>
              </w:rPr>
              <w:t>留资构建品牌私域</w:t>
            </w:r>
          </w:p>
        </w:tc>
        <w:tc>
          <w:tcPr>
            <w:tcW w:type="dxa" w:w="4080"/>
            <w:vAlign w:val="center"/>
          </w:tcPr>
          <w:p>
            <w:r>
              <w:rPr>
                <w:rFonts w:eastAsia="宋体" w:ascii="Times New Roman" w:hAnsi="Times New Roman" w:cs="Times New Roman"/>
                <w:b w:val="false"/>
                <w:i w:val="false"/>
                <w:sz w:val="22"/>
              </w:rPr>
              <w:t>新客获取成本降低30%</w:t>
            </w:r>
          </w:p>
        </w:tc>
      </w:tr>
    </w:tbl>
    <w:p>
      <w:pPr>
        <w:spacing w:line="240" w:lineRule="auto" w:before="120" w:after="120"/>
        <w:ind w:firstLine="0"/>
        <w:jc w:val="left"/>
      </w:pPr>
      <w:r>
        <w:rPr>
          <w:rFonts w:eastAsia="宋体" w:ascii="Times New Roman" w:hAnsi="Times New Roman" w:cs="Times New Roman"/>
          <w:b w:val="false"/>
          <w:i w:val="true"/>
          <w:sz w:val="22"/>
        </w:rPr>
        <w:t>(表格数据综合自东吴证券研报及分众业务案例</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vertAlign w:val="superscript"/>
        </w:rPr>
        <w:t>[56]</w:t>
      </w:r>
      <w:r>
        <w:rPr>
          <w:rFonts w:eastAsia="宋体" w:ascii="Times New Roman" w:hAnsi="Times New Roman" w:cs="Times New Roman"/>
          <w:b w:val="false"/>
          <w:i w:val="tru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这一模式推动计价模式革新：从按天计费转向CPS（按销售分成）模式，例如广告主按核销券金额的15-30%分成，实现"买转化"替代"买曝光" </w:t>
      </w:r>
      <w:r>
        <w:rPr>
          <w:rFonts w:eastAsia="宋体" w:ascii="Times New Roman" w:hAnsi="Times New Roman" w:cs="Times New Roman"/>
          <w:b w:val="false"/>
          <w:i w:val="false"/>
          <w:sz w:val="22"/>
          <w:vertAlign w:val="superscript"/>
        </w:rPr>
        <w:t>[57]</w:t>
      </w:r>
      <w:r>
        <w:rPr>
          <w:rFonts w:eastAsia="宋体" w:ascii="Times New Roman" w:hAnsi="Times New Roman" w:cs="Times New Roman"/>
          <w:b w:val="false"/>
          <w:i w:val="false"/>
          <w:sz w:val="22"/>
          <w:vertAlign w:val="superscript"/>
        </w:rPr>
        <w:t>[58]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竞争壁垒与行业适配</w:t>
      </w:r>
    </w:p>
    <w:p>
      <w:pPr>
        <w:spacing w:line="240" w:lineRule="auto" w:before="120" w:after="120"/>
        <w:ind w:firstLine="0"/>
        <w:jc w:val="left"/>
      </w:pPr>
      <w:r>
        <w:rPr>
          <w:rFonts w:eastAsia="宋体" w:ascii="Times New Roman" w:hAnsi="Times New Roman" w:cs="Times New Roman"/>
          <w:b w:val="false"/>
          <w:i w:val="false"/>
          <w:sz w:val="22"/>
        </w:rPr>
        <w:t xml:space="preserve">数字化升级有效抵御线上广告分流威胁。线上广告强于精准互动与即时转化，而分众依托"四高"（高触达、高关注、高频次、高完播）场景实现品牌心智的强制植入，凯度研究显示其广告关注度达45%，远超社交媒体14% </w:t>
      </w:r>
      <w:r>
        <w:rPr>
          <w:rFonts w:eastAsia="宋体" w:ascii="Times New Roman" w:hAnsi="Times New Roman" w:cs="Times New Roman"/>
          <w:b w:val="false"/>
          <w:i w:val="false"/>
          <w:sz w:val="22"/>
          <w:vertAlign w:val="superscript"/>
        </w:rPr>
        <w:t>[8]</w:t>
      </w:r>
      <w:r>
        <w:rPr>
          <w:rFonts w:eastAsia="宋体" w:ascii="Times New Roman" w:hAnsi="Times New Roman" w:cs="Times New Roman"/>
          <w:b w:val="false"/>
          <w:i w:val="false"/>
          <w:sz w:val="22"/>
        </w:rPr>
        <w:t>。政策环境如2025年"投流税"（线上推广费用财税管控）促使预算向线下品牌广告倾斜，进一步巩固分众地位</w:t>
      </w:r>
      <w:r>
        <w:rPr>
          <w:rFonts w:eastAsia="宋体" w:ascii="Times New Roman" w:hAnsi="Times New Roman" w:cs="Times New Roman"/>
          <w:b w:val="false"/>
          <w:i w:val="false"/>
          <w:sz w:val="22"/>
          <w:vertAlign w:val="superscript"/>
        </w:rPr>
        <w:t>[59]</w:t>
      </w:r>
      <w:r>
        <w:rPr>
          <w:rFonts w:eastAsia="宋体" w:ascii="Times New Roman" w:hAnsi="Times New Roman" w:cs="Times New Roman"/>
          <w:b w:val="false"/>
          <w:i w:val="false"/>
          <w:sz w:val="22"/>
        </w:rPr>
        <w:t>。此外，AI工具30秒生成适配广告素材，降低60%制作成本，并通过数据回流优化投放策略，例如对未使用优惠券用户停止重复推送</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vertAlign w:val="superscript"/>
        </w:rPr>
        <w:t>[54]</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3. 成长驱动因素</w:t>
      </w:r>
    </w:p>
    <w:p>
      <w:pPr>
        <w:pStyle w:val="EM_H2_STYLE"/>
        <w:spacing w:line="240" w:lineRule="auto" w:before="120" w:after="120"/>
        <w:ind w:left="0"/>
        <w:jc w:val="left"/>
      </w:pPr>
      <w:r>
        <w:rPr>
          <w:rFonts w:eastAsia="宋体" w:ascii="宋体" w:hAnsi="宋体" w:cs="宋体"/>
          <w:b w:val="true"/>
          <w:i w:val="false"/>
          <w:sz w:val="28"/>
        </w:rPr>
        <w:t>3.1 内生增长：提效降费与单屏价值提升</w:t>
      </w:r>
    </w:p>
    <w:p>
      <w:pPr>
        <w:spacing w:line="240" w:lineRule="auto" w:before="120" w:after="120"/>
        <w:ind w:firstLine="0"/>
        <w:jc w:val="left"/>
      </w:pPr>
      <w:r>
        <w:rPr>
          <w:rFonts w:eastAsia="宋体" w:ascii="Times New Roman" w:hAnsi="Times New Roman" w:cs="Times New Roman"/>
          <w:b w:val="false"/>
          <w:i w:val="false"/>
          <w:sz w:val="22"/>
        </w:rPr>
        <w:t>分众传媒通过"提效降费"双轨战略持续优化单屏价值，驱动内生增长动能。在提效维度，公司实施实质性刊例价上调策略，2025年上半年顺应广告市场0.6%的温和复苏趋势提升报价水平，直接增强单点位收入能力</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更关键的是分众智投系统的全面落地，通过与阿里云深度合作整合AI智能算法与大数据能力，实现三大突破：一是构建"千楼千面"精准投放体系，打通阿里云瓴羊数据端口，使广告主可实时监测到店率、加购量等转化指标；二是集成NFC碰一碰技术，形成"线下触达-线上转化-30分钟即时零售"闭环，破解传统梯媒品效分离痛点；三是开放闲置点位资源，面向本地生活及中小商家推出高性价比方案，显著提升媒体资源周转效率</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降费举措则通过多维度成本重构释放盈利弹性。租金成本方面，2025年上半年整体租金呈现下降趋势，三大产品线单点租金延续近年下行态势。公司持续优化点位结构，战略性缩减海报媒体规模（截至2025年7月末海报媒体168.5万台，较2024年末减少18.2万台），同步增加运营效率更高的电视媒体（128.7万台）。数字化媒体占比提升直接降低单位运营成本，2024年起通过淘汰低效海报点位、扩充电视媒体规模的结构性调整，推动单屏价值持续攀升</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运营费用管控体现为：复用阿里成熟技术体系降低自研投入，分众智投智能化运营减少线下人力配置，销售及管理费用率保持长期稳健。精细化管控使公司2024年毛利率维持在66.26%的高位，显著高于科技行业50%的基准线</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单屏价值提升的核心指标变化如下表所示：</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优化维度</w:t>
            </w:r>
          </w:p>
        </w:tc>
        <w:tc>
          <w:tcPr>
            <w:tcW w:type="dxa" w:w="3060"/>
            <w:vAlign w:val="center"/>
          </w:tcPr>
          <w:p>
            <w:r>
              <w:rPr>
                <w:rFonts w:eastAsia="宋体" w:ascii="Times New Roman" w:hAnsi="Times New Roman" w:cs="Times New Roman"/>
                <w:b w:val="false"/>
                <w:i w:val="false"/>
                <w:sz w:val="22"/>
              </w:rPr>
              <w:t>具体措施</w:t>
            </w:r>
          </w:p>
        </w:tc>
        <w:tc>
          <w:tcPr>
            <w:tcW w:type="dxa" w:w="3060"/>
            <w:vAlign w:val="center"/>
          </w:tcPr>
          <w:p>
            <w:r>
              <w:rPr>
                <w:rFonts w:eastAsia="宋体" w:ascii="Times New Roman" w:hAnsi="Times New Roman" w:cs="Times New Roman"/>
                <w:b w:val="false"/>
                <w:i w:val="false"/>
                <w:sz w:val="22"/>
              </w:rPr>
              <w:t>实施效果</w:t>
            </w:r>
          </w:p>
        </w:tc>
        <w:tc>
          <w:tcPr>
            <w:tcW w:type="dxa" w:w="3060"/>
            <w:vAlign w:val="center"/>
          </w:tcPr>
          <w:p>
            <w:r>
              <w:rPr>
                <w:rFonts w:eastAsia="宋体" w:ascii="Times New Roman" w:hAnsi="Times New Roman" w:cs="Times New Roman"/>
                <w:b w:val="false"/>
                <w:i w:val="false"/>
                <w:sz w:val="22"/>
              </w:rPr>
              <w:t>数据表现（2024-2025）</w:t>
            </w:r>
          </w:p>
        </w:tc>
      </w:tr>
      <w:tr>
        <w:tc>
          <w:tcPr>
            <w:tcW w:type="dxa" w:w="3060"/>
            <w:vAlign w:val="center"/>
          </w:tcPr>
          <w:p>
            <w:r>
              <w:rPr>
                <w:rFonts w:eastAsia="宋体" w:ascii="Times New Roman" w:hAnsi="Times New Roman" w:cs="Times New Roman"/>
                <w:b w:val="true"/>
                <w:i w:val="false"/>
                <w:sz w:val="22"/>
              </w:rPr>
              <w:t>结构提效</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电视媒体替代海报媒体</w:t>
            </w:r>
          </w:p>
        </w:tc>
        <w:tc>
          <w:tcPr>
            <w:tcW w:type="dxa" w:w="3060"/>
            <w:vAlign w:val="center"/>
          </w:tcPr>
          <w:p>
            <w:r>
              <w:rPr>
                <w:rFonts w:eastAsia="宋体" w:ascii="Times New Roman" w:hAnsi="Times New Roman" w:cs="Times New Roman"/>
                <w:b w:val="false"/>
                <w:i w:val="false"/>
                <w:sz w:val="22"/>
              </w:rPr>
              <w:t>降低单位运维成本</w:t>
            </w:r>
          </w:p>
        </w:tc>
        <w:tc>
          <w:tcPr>
            <w:tcW w:type="dxa" w:w="3060"/>
            <w:vAlign w:val="center"/>
          </w:tcPr>
          <w:p>
            <w:r>
              <w:rPr>
                <w:rFonts w:eastAsia="宋体" w:ascii="Times New Roman" w:hAnsi="Times New Roman" w:cs="Times New Roman"/>
                <w:b w:val="false"/>
                <w:i w:val="false"/>
                <w:sz w:val="22"/>
              </w:rPr>
              <w:t xml:space="preserve">电视媒体占比提升至43.3% </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true"/>
                <w:i w:val="false"/>
                <w:sz w:val="22"/>
              </w:rPr>
              <w:t>技术赋能</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分众智投AI系统</w:t>
            </w:r>
          </w:p>
        </w:tc>
        <w:tc>
          <w:tcPr>
            <w:tcW w:type="dxa" w:w="3060"/>
            <w:vAlign w:val="center"/>
          </w:tcPr>
          <w:p>
            <w:r>
              <w:rPr>
                <w:rFonts w:eastAsia="宋体" w:ascii="Times New Roman" w:hAnsi="Times New Roman" w:cs="Times New Roman"/>
                <w:b w:val="false"/>
                <w:i w:val="false"/>
                <w:sz w:val="22"/>
              </w:rPr>
              <w:t>提升刊挂率与投放精准度</w:t>
            </w:r>
          </w:p>
        </w:tc>
        <w:tc>
          <w:tcPr>
            <w:tcW w:type="dxa" w:w="3060"/>
            <w:vAlign w:val="center"/>
          </w:tcPr>
          <w:p>
            <w:r>
              <w:rPr>
                <w:rFonts w:eastAsia="宋体" w:ascii="Times New Roman" w:hAnsi="Times New Roman" w:cs="Times New Roman"/>
                <w:b w:val="false"/>
                <w:i w:val="false"/>
                <w:sz w:val="22"/>
              </w:rPr>
              <w:t xml:space="preserve">空置点位利用率提升20%+ </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true"/>
                <w:i w:val="false"/>
                <w:sz w:val="22"/>
              </w:rPr>
              <w:t>租金谈判</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点位整合与规模效应</w:t>
            </w:r>
          </w:p>
        </w:tc>
        <w:tc>
          <w:tcPr>
            <w:tcW w:type="dxa" w:w="3060"/>
            <w:vAlign w:val="center"/>
          </w:tcPr>
          <w:p>
            <w:r>
              <w:rPr>
                <w:rFonts w:eastAsia="宋体" w:ascii="Times New Roman" w:hAnsi="Times New Roman" w:cs="Times New Roman"/>
                <w:b w:val="false"/>
                <w:i w:val="false"/>
                <w:sz w:val="22"/>
              </w:rPr>
              <w:t>增强物业议价能力</w:t>
            </w:r>
          </w:p>
        </w:tc>
        <w:tc>
          <w:tcPr>
            <w:tcW w:type="dxa" w:w="3060"/>
            <w:vAlign w:val="center"/>
          </w:tcPr>
          <w:p>
            <w:r>
              <w:rPr>
                <w:rFonts w:eastAsia="宋体" w:ascii="Times New Roman" w:hAnsi="Times New Roman" w:cs="Times New Roman"/>
                <w:b w:val="false"/>
                <w:i w:val="false"/>
                <w:sz w:val="22"/>
              </w:rPr>
              <w:t xml:space="preserve">单屏租金成本同比下降3-5% </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true"/>
                <w:i w:val="false"/>
                <w:sz w:val="22"/>
              </w:rPr>
              <w:t>费用管控</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数字化运维+人力优化</w:t>
            </w:r>
          </w:p>
        </w:tc>
        <w:tc>
          <w:tcPr>
            <w:tcW w:type="dxa" w:w="3060"/>
            <w:vAlign w:val="center"/>
          </w:tcPr>
          <w:p>
            <w:r>
              <w:rPr>
                <w:rFonts w:eastAsia="宋体" w:ascii="Times New Roman" w:hAnsi="Times New Roman" w:cs="Times New Roman"/>
                <w:b w:val="false"/>
                <w:i w:val="false"/>
                <w:sz w:val="22"/>
              </w:rPr>
              <w:t>销售管理费用率稳定在18%以下</w:t>
            </w:r>
          </w:p>
        </w:tc>
        <w:tc>
          <w:tcPr>
            <w:tcW w:type="dxa" w:w="3060"/>
            <w:vAlign w:val="center"/>
          </w:tcPr>
          <w:p>
            <w:r>
              <w:rPr>
                <w:rFonts w:eastAsia="宋体" w:ascii="Times New Roman" w:hAnsi="Times New Roman" w:cs="Times New Roman"/>
                <w:b w:val="false"/>
                <w:i w:val="false"/>
                <w:sz w:val="22"/>
              </w:rPr>
              <w:t xml:space="preserve">人力成本占比下降15% </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
            </w:r>
          </w:p>
        </w:tc>
      </w:tr>
    </w:tbl>
    <w:p>
      <w:pPr>
        <w:spacing w:line="240" w:lineRule="auto" w:before="120" w:after="120"/>
        <w:ind w:firstLine="0"/>
        <w:jc w:val="left"/>
      </w:pPr>
      <w:r>
        <w:rPr>
          <w:rFonts w:eastAsia="宋体" w:ascii="Times New Roman" w:hAnsi="Times New Roman" w:cs="Times New Roman"/>
          <w:b w:val="false"/>
          <w:i w:val="false"/>
          <w:sz w:val="22"/>
        </w:rPr>
        <w:t>表格数据综合自分众传媒运营公告及券商研报</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vertAlign w:val="superscript"/>
        </w:rPr>
        <w:t>[61]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这些举措形成协同效应：在不依赖营收大幅增长的前提下，2025年前三季度实现归母净利润42.40亿元（YoY+6.9%），毛利率创历史新高。通过收入增量挖掘与成本结构优化的双向发力，单点位利润贡献率提升12%，成为利润率持续改善的核心支撑</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[61]</w:t>
      </w:r>
      <w:r>
        <w:rPr>
          <w:rFonts w:eastAsia="宋体" w:ascii="Times New Roman" w:hAnsi="Times New Roman" w:cs="Times New Roman"/>
          <w:b w:val="false"/>
          <w:i w:val="false"/>
          <w:sz w:val="22"/>
        </w:rPr>
        <w:t>。尤其在AI应用浪潮下，公司"高触达、高关注、高频次、高完播"的媒介特性，精准契合广告主对确定性场景的需求，使单屏广告价值在行业分化中持续提升</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3.2 外延扩张：收购新潮传媒整合协同</w:t>
      </w:r>
    </w:p>
    <w:p>
      <w:pPr>
        <w:spacing w:line="240" w:lineRule="auto" w:before="120" w:after="120"/>
        <w:ind w:firstLine="0"/>
        <w:jc w:val="left"/>
      </w:pPr>
      <w:r>
        <w:rPr>
          <w:rFonts w:eastAsia="宋体" w:ascii="Times New Roman" w:hAnsi="Times New Roman" w:cs="Times New Roman"/>
          <w:b w:val="false"/>
          <w:i w:val="false"/>
          <w:sz w:val="22"/>
        </w:rPr>
        <w:t>分众传媒对新潮传媒的收购是公司外延扩张战略的核心举措，旨在通过资源整合实现显著的协同效应。本次交易最初于2025年4月披露，拟以83亿元收购新潮传媒100%股权，后调整为77.94亿元收购90.02%股权，采用发行股份（占比99.6%）加现金支付的方式完成。交易完成后，新潮传媒将成为分众控股子公司，原创始人张继学出任分众副总裁兼首席增长官，负责日常运营，并采用双品牌独立运营模式</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资源互补与覆盖优化</w:t>
      </w:r>
    </w:p>
    <w:p>
      <w:pPr>
        <w:spacing w:line="240" w:lineRule="auto" w:before="120" w:after="120"/>
        <w:ind w:firstLine="0"/>
        <w:jc w:val="left"/>
      </w:pPr>
      <w:r>
        <w:rPr>
          <w:rFonts w:eastAsia="宋体" w:ascii="Times New Roman" w:hAnsi="Times New Roman" w:cs="Times New Roman"/>
          <w:b w:val="false"/>
          <w:i w:val="false"/>
          <w:sz w:val="22"/>
        </w:rPr>
        <w:t>新潮传媒专注于社区数字化媒体平台运营，其点位布局与分众形成显著互补。分众传媒以写字楼、商业综合体等商务场景为主，覆盖超4亿城市主流人群；而新潮传媒74万部智能屏（截至2024年9月）集中于住宅社区场景，覆盖全国200余座城市的1.8亿家庭居民，其中一二线城市占比70%，三线及以下城市占30%。双方点位重合度不足5%，有效填补了分众在低线城市和社区长尾市场的空白</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vertAlign w:val="superscript"/>
        </w:rPr>
        <w:t>[64]</w:t>
      </w:r>
      <w:r>
        <w:rPr>
          <w:rFonts w:eastAsia="宋体" w:ascii="Times New Roman" w:hAnsi="Times New Roman" w:cs="Times New Roman"/>
          <w:b w:val="false"/>
          <w:i w:val="false"/>
          <w:sz w:val="22"/>
        </w:rPr>
        <w:t>。从市场份额看，合并后户外广告市占率从分众14.5%和新潮2.7%提升至17.2%，进一步巩固行业龙头地位</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vertAlign w:val="superscript"/>
        </w:rPr>
        <w:t>[65]</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指标</w:t>
            </w:r>
          </w:p>
        </w:tc>
        <w:tc>
          <w:tcPr>
            <w:tcW w:type="dxa" w:w="4080"/>
            <w:vAlign w:val="center"/>
          </w:tcPr>
          <w:p>
            <w:r>
              <w:rPr>
                <w:rFonts w:eastAsia="宋体" w:ascii="Times New Roman" w:hAnsi="Times New Roman" w:cs="Times New Roman"/>
                <w:b w:val="false"/>
                <w:i w:val="false"/>
                <w:sz w:val="22"/>
              </w:rPr>
              <w:t>分众传媒</w:t>
            </w:r>
          </w:p>
        </w:tc>
        <w:tc>
          <w:tcPr>
            <w:tcW w:type="dxa" w:w="4080"/>
            <w:vAlign w:val="center"/>
          </w:tcPr>
          <w:p>
            <w:r>
              <w:rPr>
                <w:rFonts w:eastAsia="宋体" w:ascii="Times New Roman" w:hAnsi="Times New Roman" w:cs="Times New Roman"/>
                <w:b w:val="false"/>
                <w:i w:val="false"/>
                <w:sz w:val="22"/>
              </w:rPr>
              <w:t>新潮传媒</w:t>
            </w:r>
          </w:p>
        </w:tc>
      </w:tr>
      <w:tr>
        <w:tc>
          <w:tcPr>
            <w:tcW w:type="dxa" w:w="4080"/>
            <w:vAlign w:val="center"/>
          </w:tcPr>
          <w:p>
            <w:r>
              <w:rPr>
                <w:rFonts w:eastAsia="宋体" w:ascii="Times New Roman" w:hAnsi="Times New Roman" w:cs="Times New Roman"/>
                <w:b w:val="true"/>
                <w:i w:val="false"/>
                <w:sz w:val="22"/>
              </w:rPr>
              <w:t>核心场景</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false"/>
                <w:i w:val="false"/>
                <w:sz w:val="22"/>
              </w:rPr>
              <w:t>写字楼、影院等商务场景</w:t>
            </w:r>
          </w:p>
        </w:tc>
        <w:tc>
          <w:tcPr>
            <w:tcW w:type="dxa" w:w="4080"/>
            <w:vAlign w:val="center"/>
          </w:tcPr>
          <w:p>
            <w:r>
              <w:rPr>
                <w:rFonts w:eastAsia="宋体" w:ascii="Times New Roman" w:hAnsi="Times New Roman" w:cs="Times New Roman"/>
                <w:b w:val="false"/>
                <w:i w:val="false"/>
                <w:sz w:val="22"/>
              </w:rPr>
              <w:t>住宅社区场景</w:t>
            </w:r>
          </w:p>
        </w:tc>
      </w:tr>
      <w:tr>
        <w:tc>
          <w:tcPr>
            <w:tcW w:type="dxa" w:w="4080"/>
            <w:vAlign w:val="center"/>
          </w:tcPr>
          <w:p>
            <w:r>
              <w:rPr>
                <w:rFonts w:eastAsia="宋体" w:ascii="Times New Roman" w:hAnsi="Times New Roman" w:cs="Times New Roman"/>
                <w:b w:val="true"/>
                <w:i w:val="false"/>
                <w:sz w:val="22"/>
              </w:rPr>
              <w:t>点位分布</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false"/>
                <w:i w:val="false"/>
                <w:sz w:val="22"/>
              </w:rPr>
              <w:t>一二线城市占比80%</w:t>
            </w:r>
          </w:p>
        </w:tc>
        <w:tc>
          <w:tcPr>
            <w:tcW w:type="dxa" w:w="4080"/>
            <w:vAlign w:val="center"/>
          </w:tcPr>
          <w:p>
            <w:r>
              <w:rPr>
                <w:rFonts w:eastAsia="宋体" w:ascii="Times New Roman" w:hAnsi="Times New Roman" w:cs="Times New Roman"/>
                <w:b w:val="false"/>
                <w:i w:val="false"/>
                <w:sz w:val="22"/>
              </w:rPr>
              <w:t>一二线70%，三线及以下30%</w:t>
            </w:r>
          </w:p>
        </w:tc>
      </w:tr>
      <w:tr>
        <w:tc>
          <w:tcPr>
            <w:tcW w:type="dxa" w:w="4080"/>
            <w:vAlign w:val="center"/>
          </w:tcPr>
          <w:p>
            <w:r>
              <w:rPr>
                <w:rFonts w:eastAsia="宋体" w:ascii="Times New Roman" w:hAnsi="Times New Roman" w:cs="Times New Roman"/>
                <w:b w:val="true"/>
                <w:i w:val="false"/>
                <w:sz w:val="22"/>
              </w:rPr>
              <w:t>覆盖人群</w:t>
            </w:r>
            <w:r>
              <w:rPr>
                <w:rFonts w:eastAsia="宋体" w:ascii="Times New Roman" w:hAnsi="Times New Roman" w:cs="Times New Roman"/>
                <w:b w:val="false"/>
                <w:i w:val="false"/>
                <w:sz w:val="22"/>
              </w:rPr>
              <w:t/>
            </w:r>
          </w:p>
        </w:tc>
        <w:tc>
          <w:tcPr>
            <w:tcW w:type="dxa" w:w="4080"/>
            <w:vAlign w:val="center"/>
          </w:tcPr>
          <w:p>
            <w:r>
              <w:rPr>
                <w:rFonts w:eastAsia="宋体" w:ascii="Times New Roman" w:hAnsi="Times New Roman" w:cs="Times New Roman"/>
                <w:b w:val="false"/>
                <w:i w:val="false"/>
                <w:sz w:val="22"/>
              </w:rPr>
              <w:t>超4亿城市主流人群</w:t>
            </w:r>
          </w:p>
        </w:tc>
        <w:tc>
          <w:tcPr>
            <w:tcW w:type="dxa" w:w="4080"/>
            <w:vAlign w:val="center"/>
          </w:tcPr>
          <w:p>
            <w:r>
              <w:rPr>
                <w:rFonts w:eastAsia="宋体" w:ascii="Times New Roman" w:hAnsi="Times New Roman" w:cs="Times New Roman"/>
                <w:b w:val="false"/>
                <w:i w:val="false"/>
                <w:sz w:val="22"/>
              </w:rPr>
              <w:t>1.8亿家庭居民</w:t>
            </w:r>
          </w:p>
        </w:tc>
      </w:tr>
      <w:tr>
        <w:tc>
          <w:tcPr>
            <w:tcW w:type="dxa" w:w="4080"/>
            <w:vAlign w:val="center"/>
          </w:tcPr>
          <w:p>
            <w:r>
              <w:rPr>
                <w:rFonts w:eastAsia="宋体" w:ascii="Times New Roman" w:hAnsi="Times New Roman" w:cs="Times New Roman"/>
                <w:b w:val="true"/>
                <w:i w:val="false"/>
                <w:sz w:val="22"/>
              </w:rPr>
              <w:t>智能屏数量(2024)</w:t>
            </w:r>
          </w:p>
        </w:tc>
        <w:tc>
          <w:tcPr>
            <w:tcW w:type="dxa" w:w="4080"/>
            <w:vAlign w:val="center"/>
          </w:tcPr>
          <w:p>
            <w:r>
              <w:rPr>
                <w:rFonts w:eastAsia="宋体" w:ascii="Times New Roman" w:hAnsi="Times New Roman" w:cs="Times New Roman"/>
                <w:b w:val="false"/>
                <w:i w:val="false"/>
                <w:sz w:val="22"/>
              </w:rPr>
              <w:t>128.7万台（电梯电视）</w:t>
            </w:r>
          </w:p>
        </w:tc>
        <w:tc>
          <w:tcPr>
            <w:tcW w:type="dxa" w:w="4080"/>
            <w:vAlign w:val="center"/>
          </w:tcPr>
          <w:p>
            <w:r>
              <w:rPr>
                <w:rFonts w:eastAsia="宋体" w:ascii="Times New Roman" w:hAnsi="Times New Roman" w:cs="Times New Roman"/>
                <w:b w:val="false"/>
                <w:i w:val="false"/>
                <w:sz w:val="22"/>
              </w:rPr>
              <w:t>74万台</w:t>
            </w:r>
          </w:p>
        </w:tc>
      </w:tr>
      <w:tr>
        <w:tc>
          <w:tcPr>
            <w:tcW w:type="dxa" w:w="4080"/>
            <w:vAlign w:val="center"/>
          </w:tcPr>
          <w:p>
            <w:r>
              <w:rPr>
                <w:rFonts w:eastAsia="宋体" w:ascii="Times New Roman" w:hAnsi="Times New Roman" w:cs="Times New Roman"/>
                <w:b w:val="true"/>
                <w:i w:val="false"/>
                <w:sz w:val="22"/>
              </w:rPr>
              <w:t>单屏年收入(2024)</w:t>
            </w:r>
          </w:p>
        </w:tc>
        <w:tc>
          <w:tcPr>
            <w:tcW w:type="dxa" w:w="4080"/>
            <w:vAlign w:val="center"/>
          </w:tcPr>
          <w:p>
            <w:r>
              <w:rPr>
                <w:rFonts w:eastAsia="宋体" w:ascii="Times New Roman" w:hAnsi="Times New Roman" w:cs="Times New Roman"/>
                <w:b w:val="false"/>
                <w:i w:val="false"/>
                <w:sz w:val="22"/>
              </w:rPr>
              <w:t>约4600元</w:t>
            </w:r>
          </w:p>
        </w:tc>
        <w:tc>
          <w:tcPr>
            <w:tcW w:type="dxa" w:w="4080"/>
            <w:vAlign w:val="center"/>
          </w:tcPr>
          <w:p>
            <w:r>
              <w:rPr>
                <w:rFonts w:eastAsia="宋体" w:ascii="Times New Roman" w:hAnsi="Times New Roman" w:cs="Times New Roman"/>
                <w:b w:val="false"/>
                <w:i w:val="false"/>
                <w:sz w:val="22"/>
              </w:rPr>
              <w:t>约2600元</w:t>
            </w:r>
          </w:p>
        </w:tc>
      </w:tr>
    </w:tbl>
    <w:p>
      <w:pPr>
        <w:spacing w:line="240" w:lineRule="auto" w:before="120" w:after="120"/>
        <w:ind w:firstLine="0"/>
        <w:jc w:val="left"/>
      </w:pPr>
      <w:r>
        <w:rPr>
          <w:rFonts w:eastAsia="宋体" w:ascii="Times New Roman" w:hAnsi="Times New Roman" w:cs="Times New Roman"/>
          <w:b w:val="false"/>
          <w:i w:val="false"/>
          <w:sz w:val="22"/>
        </w:rPr>
        <w:t>表格数据综合自公司公告及行业研报</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vertAlign w:val="superscript"/>
        </w:rPr>
        <w:t>[66]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协同效应与效率提升</w:t>
      </w:r>
    </w:p>
    <w:p>
      <w:pPr>
        <w:spacing w:line="240" w:lineRule="auto" w:before="120" w:after="120"/>
        <w:ind w:firstLine="0"/>
        <w:jc w:val="left"/>
      </w:pPr>
      <w:r>
        <w:rPr>
          <w:rFonts w:eastAsia="宋体" w:ascii="Times New Roman" w:hAnsi="Times New Roman" w:cs="Times New Roman"/>
          <w:b w:val="false"/>
          <w:i w:val="false"/>
          <w:sz w:val="22"/>
        </w:rPr>
        <w:t>收购后协同效应主要体现在三方面：</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客户资源整合</w:t>
      </w:r>
      <w:r>
        <w:rPr>
          <w:rFonts w:eastAsia="宋体" w:ascii="Times New Roman" w:hAnsi="Times New Roman" w:cs="Times New Roman"/>
          <w:b w:val="false"/>
          <w:i w:val="false"/>
          <w:sz w:val="22"/>
        </w:rPr>
        <w:t xml:space="preserve">：分众以服务大型品牌广告主为主（如宝洁、京东），新潮深耕中小广告主市场（覆盖2.3万品牌），双方客户重叠率低于15%。整合后可通过共享销售体系，满足多元化投放需求，预计客户资源共享率2年内提升至30%，中小广告主渗透率提高20% </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vertAlign w:val="superscript"/>
        </w:rPr>
        <w:t>[67]</w:t>
      </w:r>
      <w:r>
        <w:rPr>
          <w:rFonts w:eastAsia="宋体" w:ascii="Times New Roman" w:hAnsi="Times New Roman" w:cs="Times New Roman"/>
          <w:b w:val="false"/>
          <w:i w:val="false"/>
          <w:sz w:val="22"/>
          <w:vertAlign w:val="superscript"/>
        </w:rPr>
        <w:t>[68]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成本优化与效率提升</w:t>
      </w:r>
      <w:r>
        <w:rPr>
          <w:rFonts w:eastAsia="宋体" w:ascii="Times New Roman" w:hAnsi="Times New Roman" w:cs="Times New Roman"/>
          <w:b w:val="false"/>
          <w:i w:val="false"/>
          <w:sz w:val="22"/>
        </w:rPr>
        <w:t xml:space="preserve">：历史竞争导致双方租金成本高企（2018年价格战期间坏账超135亿元）。合并后议价能力增强，预计媒体租赁成本降低10%，运营费用压缩8-9亿元/年。同时，技术协同（如新潮的“蜜蜂系统”智能投放平台与分众的AI数字化体系融合）可提升广告投放精准度，刊挂率提高15%-20% </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vertAlign w:val="superscript"/>
        </w:rPr>
        <w:t>[69]</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盈利改善空间</w:t>
      </w:r>
      <w:r>
        <w:rPr>
          <w:rFonts w:eastAsia="宋体" w:ascii="Times New Roman" w:hAnsi="Times New Roman" w:cs="Times New Roman"/>
          <w:b w:val="false"/>
          <w:i w:val="false"/>
          <w:sz w:val="22"/>
        </w:rPr>
        <w:t>：新潮传媒2024年营收19.88亿元，净利润4190万元，毛利率36.4%，净利率仅1.7%，远低于分众的66.3%和42.0%。整合后，分众的客户资源和运营能力可助推新潮单屏收入提升25%至3300元，净利率改善至20%，预计年均贡献净利润5亿元</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vertAlign w:val="superscript"/>
        </w:rPr>
        <w:t>[70]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风险与整合策略</w:t>
      </w:r>
    </w:p>
    <w:p>
      <w:pPr>
        <w:spacing w:line="240" w:lineRule="auto" w:before="120" w:after="120"/>
        <w:ind w:firstLine="0"/>
        <w:jc w:val="left"/>
      </w:pPr>
      <w:r>
        <w:rPr>
          <w:rFonts w:eastAsia="宋体" w:ascii="Times New Roman" w:hAnsi="Times New Roman" w:cs="Times New Roman"/>
          <w:b w:val="false"/>
          <w:i w:val="false"/>
          <w:sz w:val="22"/>
        </w:rPr>
        <w:t>尽管协同潜力显著，但整合仍面临媒体资源租赁变动、商誉减值（交易确认商誉46.8亿元）及客户结构差异等风险。分众已制定专项整合方案：在财务上统一核算体系；业务上通过双品牌差异化定位（分众聚焦高端品牌，新潮主攻下沉市场）；资源上处置冗余资产（如交割后2年内出售新潮持有的青浦地块项目）。深交所问询中，公司强调将通过内控优化降低应收账款坏账风险</w:t>
      </w:r>
      <w:r>
        <w:rPr>
          <w:rFonts w:eastAsia="宋体" w:ascii="Times New Roman" w:hAnsi="Times New Roman" w:cs="Times New Roman"/>
          <w:b w:val="false"/>
          <w:i w:val="false"/>
          <w:sz w:val="22"/>
          <w:vertAlign w:val="superscript"/>
        </w:rPr>
        <w:t>[25]</w:t>
      </w:r>
      <w:r>
        <w:rPr>
          <w:rFonts w:eastAsia="宋体" w:ascii="Times New Roman" w:hAnsi="Times New Roman" w:cs="Times New Roman"/>
          <w:b w:val="false"/>
          <w:i w:val="false"/>
          <w:sz w:val="22"/>
          <w:vertAlign w:val="superscript"/>
        </w:rPr>
        <w:t>[62]</w:t>
      </w:r>
      <w:r>
        <w:rPr>
          <w:rFonts w:eastAsia="宋体" w:ascii="Times New Roman" w:hAnsi="Times New Roman" w:cs="Times New Roman"/>
          <w:b w:val="false"/>
          <w:i w:val="false"/>
          <w:sz w:val="22"/>
          <w:vertAlign w:val="superscript"/>
        </w:rPr>
        <w:t>[71]</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整体而言，本次收购是户外广告行业从“分散竞争”转向“寡头协同”的标志性事件，通过终结内耗、优化资源配置，为分众长期盈利增长注入确定性</w:t>
      </w:r>
      <w:r>
        <w:rPr>
          <w:rFonts w:eastAsia="宋体" w:ascii="Times New Roman" w:hAnsi="Times New Roman" w:cs="Times New Roman"/>
          <w:b w:val="false"/>
          <w:i w:val="false"/>
          <w:sz w:val="22"/>
          <w:vertAlign w:val="superscript"/>
        </w:rPr>
        <w:t>[45]</w:t>
      </w:r>
      <w:r>
        <w:rPr>
          <w:rFonts w:eastAsia="宋体" w:ascii="Times New Roman" w:hAnsi="Times New Roman" w:cs="Times New Roman"/>
          <w:b w:val="false"/>
          <w:i w:val="false"/>
          <w:sz w:val="22"/>
          <w:vertAlign w:val="superscript"/>
        </w:rPr>
        <w:t>[72]</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3.3 创新业务：支付宝‘碰一碰’生态闭环</w:t>
      </w:r>
    </w:p>
    <w:p>
      <w:pPr>
        <w:spacing w:line="240" w:lineRule="auto" w:before="120" w:after="120"/>
        <w:ind w:firstLine="0"/>
        <w:jc w:val="left"/>
      </w:pPr>
      <w:r>
        <w:rPr>
          <w:rFonts w:eastAsia="宋体" w:ascii="Times New Roman" w:hAnsi="Times New Roman" w:cs="Times New Roman"/>
          <w:b w:val="false"/>
          <w:i w:val="false"/>
          <w:sz w:val="22"/>
        </w:rPr>
        <w:t>分众传媒与支付宝联合推出的“碰一下”创新交互生态，通过NFC技术重构了电梯场景的营销价值链条。该业务在电梯屏幕旁加装感应设备，用户解锁手机轻触蓝色圆环即可完成优惠领取或页面跳转，将传统被动广告曝光转化为即时互动行为。技术层面具备三大核心优势：操作流程仅需解锁、触碰、领取三步完成，交互效率提升80%；NFC近场通信不受电梯封闭环境信号限制；无需下载额外应用，适配全年龄段用户群体</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vertAlign w:val="superscript"/>
        </w:rPr>
        <w:t>[63]</w:t>
      </w:r>
      <w:r>
        <w:rPr>
          <w:rFonts w:eastAsia="宋体" w:ascii="Times New Roman" w:hAnsi="Times New Roman" w:cs="Times New Roman"/>
          <w:b w:val="false"/>
          <w:i w:val="false"/>
          <w:sz w:val="22"/>
        </w:rPr>
        <w:t>。这种低门槛交互设计显著提升了用户参与度，测试数据显示三得利在杭州的领券率达68.6%，远高于传统扫码方式</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“碰一下”构建了覆盖消费全链路的八大核心变现场景，形成完整的商业闭环：</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场景类型</w:t>
            </w:r>
          </w:p>
        </w:tc>
        <w:tc>
          <w:tcPr>
            <w:tcW w:type="dxa" w:w="4080"/>
            <w:vAlign w:val="center"/>
          </w:tcPr>
          <w:p>
            <w:r>
              <w:rPr>
                <w:rFonts w:eastAsia="宋体" w:ascii="Times New Roman" w:hAnsi="Times New Roman" w:cs="Times New Roman"/>
                <w:b w:val="false"/>
                <w:i w:val="false"/>
                <w:sz w:val="22"/>
              </w:rPr>
              <w:t>实现路径</w:t>
            </w:r>
          </w:p>
        </w:tc>
        <w:tc>
          <w:tcPr>
            <w:tcW w:type="dxa" w:w="4080"/>
            <w:vAlign w:val="center"/>
          </w:tcPr>
          <w:p>
            <w:r>
              <w:rPr>
                <w:rFonts w:eastAsia="宋体" w:ascii="Times New Roman" w:hAnsi="Times New Roman" w:cs="Times New Roman"/>
                <w:b w:val="false"/>
                <w:i w:val="false"/>
                <w:sz w:val="22"/>
              </w:rPr>
              <w:t>商业价值</w:t>
            </w:r>
          </w:p>
        </w:tc>
      </w:tr>
      <w:tr>
        <w:tc>
          <w:tcPr>
            <w:tcW w:type="dxa" w:w="4080"/>
            <w:vAlign w:val="center"/>
          </w:tcPr>
          <w:p>
            <w:r>
              <w:rPr>
                <w:rFonts w:eastAsia="宋体" w:ascii="Times New Roman" w:hAnsi="Times New Roman" w:cs="Times New Roman"/>
                <w:b w:val="false"/>
                <w:i w:val="false"/>
                <w:sz w:val="22"/>
              </w:rPr>
              <w:t>红包领取</w:t>
            </w:r>
          </w:p>
        </w:tc>
        <w:tc>
          <w:tcPr>
            <w:tcW w:type="dxa" w:w="4080"/>
            <w:vAlign w:val="center"/>
          </w:tcPr>
          <w:p>
            <w:r>
              <w:rPr>
                <w:rFonts w:eastAsia="宋体" w:ascii="Times New Roman" w:hAnsi="Times New Roman" w:cs="Times New Roman"/>
                <w:b w:val="false"/>
                <w:i w:val="false"/>
                <w:sz w:val="22"/>
              </w:rPr>
              <w:t>触碰即得现金红包</w:t>
            </w:r>
          </w:p>
        </w:tc>
        <w:tc>
          <w:tcPr>
            <w:tcW w:type="dxa" w:w="4080"/>
            <w:vAlign w:val="center"/>
          </w:tcPr>
          <w:p>
            <w:r>
              <w:rPr>
                <w:rFonts w:eastAsia="宋体" w:ascii="Times New Roman" w:hAnsi="Times New Roman" w:cs="Times New Roman"/>
                <w:b w:val="false"/>
                <w:i w:val="false"/>
                <w:sz w:val="22"/>
              </w:rPr>
              <w:t>快速激发消费动机</w:t>
            </w:r>
          </w:p>
        </w:tc>
      </w:tr>
      <w:tr>
        <w:tc>
          <w:tcPr>
            <w:tcW w:type="dxa" w:w="4080"/>
            <w:vAlign w:val="center"/>
          </w:tcPr>
          <w:p>
            <w:r>
              <w:rPr>
                <w:rFonts w:eastAsia="宋体" w:ascii="Times New Roman" w:hAnsi="Times New Roman" w:cs="Times New Roman"/>
                <w:b w:val="false"/>
                <w:i w:val="false"/>
                <w:sz w:val="22"/>
              </w:rPr>
              <w:t>电商交易</w:t>
            </w:r>
          </w:p>
        </w:tc>
        <w:tc>
          <w:tcPr>
            <w:tcW w:type="dxa" w:w="4080"/>
            <w:vAlign w:val="center"/>
          </w:tcPr>
          <w:p>
            <w:r>
              <w:rPr>
                <w:rFonts w:eastAsia="宋体" w:ascii="Times New Roman" w:hAnsi="Times New Roman" w:cs="Times New Roman"/>
                <w:b w:val="false"/>
                <w:i w:val="false"/>
                <w:sz w:val="22"/>
              </w:rPr>
              <w:t>直跳电商平台完成购买</w:t>
            </w:r>
          </w:p>
        </w:tc>
        <w:tc>
          <w:tcPr>
            <w:tcW w:type="dxa" w:w="4080"/>
            <w:vAlign w:val="center"/>
          </w:tcPr>
          <w:p>
            <w:r>
              <w:rPr>
                <w:rFonts w:eastAsia="宋体" w:ascii="Times New Roman" w:hAnsi="Times New Roman" w:cs="Times New Roman"/>
                <w:b w:val="false"/>
                <w:i w:val="false"/>
                <w:sz w:val="22"/>
              </w:rPr>
              <w:t>缩短决策路径，提升转化率</w:t>
            </w:r>
          </w:p>
        </w:tc>
      </w:tr>
      <w:tr>
        <w:tc>
          <w:tcPr>
            <w:tcW w:type="dxa" w:w="4080"/>
            <w:vAlign w:val="center"/>
          </w:tcPr>
          <w:p>
            <w:r>
              <w:rPr>
                <w:rFonts w:eastAsia="宋体" w:ascii="Times New Roman" w:hAnsi="Times New Roman" w:cs="Times New Roman"/>
                <w:b w:val="false"/>
                <w:i w:val="false"/>
                <w:sz w:val="22"/>
              </w:rPr>
              <w:t>到店核销</w:t>
            </w:r>
          </w:p>
        </w:tc>
        <w:tc>
          <w:tcPr>
            <w:tcW w:type="dxa" w:w="4080"/>
            <w:vAlign w:val="center"/>
          </w:tcPr>
          <w:p>
            <w:r>
              <w:rPr>
                <w:rFonts w:eastAsia="宋体" w:ascii="Times New Roman" w:hAnsi="Times New Roman" w:cs="Times New Roman"/>
                <w:b w:val="false"/>
                <w:i w:val="false"/>
                <w:sz w:val="22"/>
              </w:rPr>
              <w:t>领取优惠券后线下消费</w:t>
            </w:r>
          </w:p>
        </w:tc>
        <w:tc>
          <w:tcPr>
            <w:tcW w:type="dxa" w:w="4080"/>
            <w:vAlign w:val="center"/>
          </w:tcPr>
          <w:p>
            <w:r>
              <w:rPr>
                <w:rFonts w:eastAsia="宋体" w:ascii="Times New Roman" w:hAnsi="Times New Roman" w:cs="Times New Roman"/>
                <w:b w:val="false"/>
                <w:i w:val="false"/>
                <w:sz w:val="22"/>
              </w:rPr>
              <w:t>驱动线下门店客流</w:t>
            </w:r>
          </w:p>
        </w:tc>
      </w:tr>
      <w:tr>
        <w:tc>
          <w:tcPr>
            <w:tcW w:type="dxa" w:w="4080"/>
            <w:vAlign w:val="center"/>
          </w:tcPr>
          <w:p>
            <w:r>
              <w:rPr>
                <w:rFonts w:eastAsia="宋体" w:ascii="Times New Roman" w:hAnsi="Times New Roman" w:cs="Times New Roman"/>
                <w:b w:val="false"/>
                <w:i w:val="false"/>
                <w:sz w:val="22"/>
              </w:rPr>
              <w:t>会员拉新</w:t>
            </w:r>
          </w:p>
        </w:tc>
        <w:tc>
          <w:tcPr>
            <w:tcW w:type="dxa" w:w="4080"/>
            <w:vAlign w:val="center"/>
          </w:tcPr>
          <w:p>
            <w:r>
              <w:rPr>
                <w:rFonts w:eastAsia="宋体" w:ascii="Times New Roman" w:hAnsi="Times New Roman" w:cs="Times New Roman"/>
                <w:b w:val="false"/>
                <w:i w:val="false"/>
                <w:sz w:val="22"/>
              </w:rPr>
              <w:t>触碰加入品牌会员体系</w:t>
            </w:r>
          </w:p>
        </w:tc>
        <w:tc>
          <w:tcPr>
            <w:tcW w:type="dxa" w:w="4080"/>
            <w:vAlign w:val="center"/>
          </w:tcPr>
          <w:p>
            <w:r>
              <w:rPr>
                <w:rFonts w:eastAsia="宋体" w:ascii="Times New Roman" w:hAnsi="Times New Roman" w:cs="Times New Roman"/>
                <w:b w:val="false"/>
                <w:i w:val="false"/>
                <w:sz w:val="22"/>
              </w:rPr>
              <w:t>建立长期用户关系</w:t>
            </w:r>
          </w:p>
        </w:tc>
      </w:tr>
      <w:tr>
        <w:tc>
          <w:tcPr>
            <w:tcW w:type="dxa" w:w="4080"/>
            <w:vAlign w:val="center"/>
          </w:tcPr>
          <w:p>
            <w:r>
              <w:rPr>
                <w:rFonts w:eastAsia="宋体" w:ascii="Times New Roman" w:hAnsi="Times New Roman" w:cs="Times New Roman"/>
                <w:b w:val="false"/>
                <w:i w:val="false"/>
                <w:sz w:val="22"/>
              </w:rPr>
              <w:t>应用下载</w:t>
            </w:r>
          </w:p>
        </w:tc>
        <w:tc>
          <w:tcPr>
            <w:tcW w:type="dxa" w:w="4080"/>
            <w:vAlign w:val="center"/>
          </w:tcPr>
          <w:p>
            <w:r>
              <w:rPr>
                <w:rFonts w:eastAsia="宋体" w:ascii="Times New Roman" w:hAnsi="Times New Roman" w:cs="Times New Roman"/>
                <w:b w:val="false"/>
                <w:i w:val="false"/>
                <w:sz w:val="22"/>
              </w:rPr>
              <w:t>跳转应用商店下载安装</w:t>
            </w:r>
          </w:p>
        </w:tc>
        <w:tc>
          <w:tcPr>
            <w:tcW w:type="dxa" w:w="4080"/>
            <w:vAlign w:val="center"/>
          </w:tcPr>
          <w:p>
            <w:r>
              <w:rPr>
                <w:rFonts w:eastAsia="宋体" w:ascii="Times New Roman" w:hAnsi="Times New Roman" w:cs="Times New Roman"/>
                <w:b w:val="false"/>
                <w:i w:val="false"/>
                <w:sz w:val="22"/>
              </w:rPr>
              <w:t>高效获取新增用户</w:t>
            </w:r>
          </w:p>
        </w:tc>
      </w:tr>
      <w:tr>
        <w:tc>
          <w:tcPr>
            <w:tcW w:type="dxa" w:w="4080"/>
            <w:vAlign w:val="center"/>
          </w:tcPr>
          <w:p>
            <w:r>
              <w:rPr>
                <w:rFonts w:eastAsia="宋体" w:ascii="Times New Roman" w:hAnsi="Times New Roman" w:cs="Times New Roman"/>
                <w:b w:val="false"/>
                <w:i w:val="false"/>
                <w:sz w:val="22"/>
              </w:rPr>
              <w:t>留资获客</w:t>
            </w:r>
          </w:p>
        </w:tc>
        <w:tc>
          <w:tcPr>
            <w:tcW w:type="dxa" w:w="4080"/>
            <w:vAlign w:val="center"/>
          </w:tcPr>
          <w:p>
            <w:r>
              <w:rPr>
                <w:rFonts w:eastAsia="宋体" w:ascii="Times New Roman" w:hAnsi="Times New Roman" w:cs="Times New Roman"/>
                <w:b w:val="false"/>
                <w:i w:val="false"/>
                <w:sz w:val="22"/>
              </w:rPr>
              <w:t>提交联系方式获取服务</w:t>
            </w:r>
          </w:p>
        </w:tc>
        <w:tc>
          <w:tcPr>
            <w:tcW w:type="dxa" w:w="4080"/>
            <w:vAlign w:val="center"/>
          </w:tcPr>
          <w:p>
            <w:r>
              <w:rPr>
                <w:rFonts w:eastAsia="宋体" w:ascii="Times New Roman" w:hAnsi="Times New Roman" w:cs="Times New Roman"/>
                <w:b w:val="false"/>
                <w:i w:val="false"/>
                <w:sz w:val="22"/>
              </w:rPr>
              <w:t>构建精准用户数据库</w:t>
            </w:r>
          </w:p>
        </w:tc>
      </w:tr>
      <w:tr>
        <w:tc>
          <w:tcPr>
            <w:tcW w:type="dxa" w:w="4080"/>
            <w:vAlign w:val="center"/>
          </w:tcPr>
          <w:p>
            <w:r>
              <w:rPr>
                <w:rFonts w:eastAsia="宋体" w:ascii="Times New Roman" w:hAnsi="Times New Roman" w:cs="Times New Roman"/>
                <w:b w:val="false"/>
                <w:i w:val="false"/>
                <w:sz w:val="22"/>
              </w:rPr>
              <w:t>平台拉新</w:t>
            </w:r>
          </w:p>
        </w:tc>
        <w:tc>
          <w:tcPr>
            <w:tcW w:type="dxa" w:w="4080"/>
            <w:vAlign w:val="center"/>
          </w:tcPr>
          <w:p>
            <w:r>
              <w:rPr>
                <w:rFonts w:eastAsia="宋体" w:ascii="Times New Roman" w:hAnsi="Times New Roman" w:cs="Times New Roman"/>
                <w:b w:val="false"/>
                <w:i w:val="false"/>
                <w:sz w:val="22"/>
              </w:rPr>
              <w:t>注册成为平台新用户</w:t>
            </w:r>
          </w:p>
        </w:tc>
        <w:tc>
          <w:tcPr>
            <w:tcW w:type="dxa" w:w="4080"/>
            <w:vAlign w:val="center"/>
          </w:tcPr>
          <w:p>
            <w:r>
              <w:rPr>
                <w:rFonts w:eastAsia="宋体" w:ascii="Times New Roman" w:hAnsi="Times New Roman" w:cs="Times New Roman"/>
                <w:b w:val="false"/>
                <w:i w:val="false"/>
                <w:sz w:val="22"/>
              </w:rPr>
              <w:t>降低获客成本</w:t>
            </w:r>
          </w:p>
        </w:tc>
      </w:tr>
      <w:tr>
        <w:tc>
          <w:tcPr>
            <w:tcW w:type="dxa" w:w="4080"/>
            <w:vAlign w:val="center"/>
          </w:tcPr>
          <w:p>
            <w:r>
              <w:rPr>
                <w:rFonts w:eastAsia="宋体" w:ascii="Times New Roman" w:hAnsi="Times New Roman" w:cs="Times New Roman"/>
                <w:b w:val="false"/>
                <w:i w:val="false"/>
                <w:sz w:val="22"/>
              </w:rPr>
              <w:t>配送到家</w:t>
            </w:r>
          </w:p>
        </w:tc>
        <w:tc>
          <w:tcPr>
            <w:tcW w:type="dxa" w:w="4080"/>
            <w:vAlign w:val="center"/>
          </w:tcPr>
          <w:p>
            <w:r>
              <w:rPr>
                <w:rFonts w:eastAsia="宋体" w:ascii="Times New Roman" w:hAnsi="Times New Roman" w:cs="Times New Roman"/>
                <w:b w:val="false"/>
                <w:i w:val="false"/>
                <w:sz w:val="22"/>
              </w:rPr>
              <w:t>领取优惠券并完成即时配送订单</w:t>
            </w:r>
          </w:p>
        </w:tc>
        <w:tc>
          <w:tcPr>
            <w:tcW w:type="dxa" w:w="4080"/>
            <w:vAlign w:val="center"/>
          </w:tcPr>
          <w:p>
            <w:r>
              <w:rPr>
                <w:rFonts w:eastAsia="宋体" w:ascii="Times New Roman" w:hAnsi="Times New Roman" w:cs="Times New Roman"/>
                <w:b w:val="false"/>
                <w:i w:val="false"/>
                <w:sz w:val="22"/>
              </w:rPr>
              <w:t>打通线上线下服务体系</w:t>
            </w:r>
          </w:p>
        </w:tc>
      </w:tr>
    </w:tbl>
    <w:p>
      <w:pPr>
        <w:spacing w:line="240" w:lineRule="auto" w:before="120" w:after="120"/>
        <w:ind w:firstLine="0"/>
        <w:jc w:val="left"/>
      </w:pPr>
      <w:r>
        <w:rPr>
          <w:rFonts w:eastAsia="宋体" w:ascii="Times New Roman" w:hAnsi="Times New Roman" w:cs="Times New Roman"/>
          <w:b w:val="false"/>
          <w:i w:val="false"/>
          <w:sz w:val="22"/>
        </w:rPr>
        <w:t>（表格数据综合自东吴证券商业场景分析</w:t>
      </w:r>
      <w:r>
        <w:rPr>
          <w:rFonts w:eastAsia="宋体" w:ascii="Times New Roman" w:hAnsi="Times New Roman" w:cs="Times New Roman"/>
          <w:b w:val="false"/>
          <w:i w:val="false"/>
          <w:sz w:val="22"/>
          <w:vertAlign w:val="superscript"/>
        </w:rPr>
        <w:t>[46]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数据链路的贯通是该模式的核心突破。支付宝生态的用户标签体系可追踪“曝光-互动-核销”全流程数据，例如淘宝闪购通过“碰一下”投放的广告实现客单价提升50%、用户次留率增长69% </w:t>
      </w:r>
      <w:r>
        <w:rPr>
          <w:rFonts w:eastAsia="宋体" w:ascii="Times New Roman" w:hAnsi="Times New Roman" w:cs="Times New Roman"/>
          <w:b w:val="false"/>
          <w:i w:val="false"/>
          <w:sz w:val="22"/>
          <w:vertAlign w:val="superscript"/>
        </w:rPr>
        <w:t>[74]</w:t>
      </w:r>
      <w:r>
        <w:rPr>
          <w:rFonts w:eastAsia="宋体" w:ascii="Times New Roman" w:hAnsi="Times New Roman" w:cs="Times New Roman"/>
          <w:b w:val="false"/>
          <w:i w:val="false"/>
          <w:sz w:val="22"/>
        </w:rPr>
        <w:t>。这种可量化的效果归因使梯媒从品牌曝光媒介升级为品效协同平台，广告主可根据各区域电梯的领券数据动态调整优惠策略，如上海社区偏好3元小额优惠，杭州写字楼用户对29减10元组合券响应更高</w:t>
      </w:r>
      <w:r>
        <w:rPr>
          <w:rFonts w:eastAsia="宋体" w:ascii="Times New Roman" w:hAnsi="Times New Roman" w:cs="Times New Roman"/>
          <w:b w:val="false"/>
          <w:i w:val="false"/>
          <w:sz w:val="22"/>
          <w:vertAlign w:val="superscript"/>
        </w:rPr>
        <w:t>[73]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铺设进展方面，截至2025年8月已完成20多座城市40万台设备部署，计划年底扩展至百万台规模</w:t>
      </w:r>
      <w:r>
        <w:rPr>
          <w:rFonts w:eastAsia="宋体" w:ascii="Times New Roman" w:hAnsi="Times New Roman" w:cs="Times New Roman"/>
          <w:b w:val="false"/>
          <w:i w:val="false"/>
          <w:sz w:val="22"/>
          <w:vertAlign w:val="superscript"/>
        </w:rPr>
        <w:t>[75]</w:t>
      </w:r>
      <w:r>
        <w:rPr>
          <w:rFonts w:eastAsia="宋体" w:ascii="Times New Roman" w:hAnsi="Times New Roman" w:cs="Times New Roman"/>
          <w:b w:val="false"/>
          <w:i w:val="false"/>
          <w:sz w:val="22"/>
        </w:rPr>
        <w:t>。蚂蚁集团CEO韩歆毅透露，“碰一下”已接入5000+品牌、千万门店，用户数超1亿</w:t>
      </w:r>
      <w:r>
        <w:rPr>
          <w:rFonts w:eastAsia="宋体" w:ascii="Times New Roman" w:hAnsi="Times New Roman" w:cs="Times New Roman"/>
          <w:b w:val="false"/>
          <w:i w:val="false"/>
          <w:sz w:val="22"/>
          <w:vertAlign w:val="superscript"/>
        </w:rPr>
        <w:t>[76]</w:t>
      </w:r>
      <w:r>
        <w:rPr>
          <w:rFonts w:eastAsia="宋体" w:ascii="Times New Roman" w:hAnsi="Times New Roman" w:cs="Times New Roman"/>
          <w:b w:val="false"/>
          <w:i w:val="false"/>
          <w:sz w:val="22"/>
        </w:rPr>
        <w:t>。分众创始人江南春强调，此次合作将300万电梯点位转化为数字化服务入口，构建了“技术创新+场景渗透”的新生态</w:t>
      </w:r>
      <w:r>
        <w:rPr>
          <w:rFonts w:eastAsia="宋体" w:ascii="Times New Roman" w:hAnsi="Times New Roman" w:cs="Times New Roman"/>
          <w:b w:val="false"/>
          <w:i w:val="false"/>
          <w:sz w:val="22"/>
          <w:vertAlign w:val="superscript"/>
        </w:rPr>
        <w:t>[77]</w:t>
      </w:r>
      <w:r>
        <w:rPr>
          <w:rFonts w:eastAsia="宋体" w:ascii="Times New Roman" w:hAnsi="Times New Roman" w:cs="Times New Roman"/>
          <w:b w:val="false"/>
          <w:i w:val="false"/>
          <w:sz w:val="22"/>
          <w:vertAlign w:val="superscript"/>
        </w:rPr>
        <w:t>[78]</w:t>
      </w:r>
      <w:r>
        <w:rPr>
          <w:rFonts w:eastAsia="宋体" w:ascii="Times New Roman" w:hAnsi="Times New Roman" w:cs="Times New Roman"/>
          <w:b w:val="false"/>
          <w:i w:val="false"/>
          <w:sz w:val="22"/>
        </w:rPr>
        <w:t>。随着用户习惯养成，该模式有望探索CPS按效果分成等商业化路径，打开百亿级效果广告市场空间</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3.4 海外市场拓展与即时零售催化</w:t>
      </w:r>
    </w:p>
    <w:p>
      <w:pPr>
        <w:spacing w:line="240" w:lineRule="auto" w:before="120" w:after="120"/>
        <w:ind w:firstLine="0"/>
        <w:jc w:val="left"/>
      </w:pPr>
      <w:r>
        <w:rPr>
          <w:rFonts w:eastAsia="宋体" w:ascii="Times New Roman" w:hAnsi="Times New Roman" w:cs="Times New Roman"/>
          <w:b w:val="false"/>
          <w:i w:val="false"/>
          <w:sz w:val="22"/>
        </w:rPr>
        <w:t>分众传媒的海外市场拓展已形成系统性布局，覆盖范围持续扩大。自2017年启动国际化战略以来，公司通过自营模式在亚洲核心市场快速扩张，截至2025年中期，业务已覆盖韩国、新加坡、印度尼西亚、泰国、马来西亚、越南、日本、阿联酋等11个国家和地区，境外媒体设备总量达18万台</w:t>
      </w:r>
      <w:r>
        <w:rPr>
          <w:rFonts w:eastAsia="宋体" w:ascii="Times New Roman" w:hAnsi="Times New Roman" w:cs="Times New Roman"/>
          <w:b w:val="false"/>
          <w:i w:val="false"/>
          <w:sz w:val="22"/>
          <w:vertAlign w:val="superscript"/>
        </w:rPr>
        <w:t>[79]</w:t>
      </w:r>
      <w:r>
        <w:rPr>
          <w:rFonts w:eastAsia="宋体" w:ascii="Times New Roman" w:hAnsi="Times New Roman" w:cs="Times New Roman"/>
          <w:b w:val="false"/>
          <w:i w:val="false"/>
          <w:sz w:val="22"/>
          <w:vertAlign w:val="superscript"/>
        </w:rPr>
        <w:t>[80]</w:t>
      </w:r>
      <w:r>
        <w:rPr>
          <w:rFonts w:eastAsia="宋体" w:ascii="Times New Roman" w:hAnsi="Times New Roman" w:cs="Times New Roman"/>
          <w:b w:val="false"/>
          <w:i w:val="false"/>
          <w:sz w:val="22"/>
        </w:rPr>
        <w:t>。其中电梯电视媒体数量约15.4万台（YoY+2.7%），电梯海报媒体约2.6万台（YoY+4.0%）</w:t>
      </w:r>
      <w:r>
        <w:rPr>
          <w:rFonts w:eastAsia="宋体" w:ascii="Times New Roman" w:hAnsi="Times New Roman" w:cs="Times New Roman"/>
          <w:b w:val="false"/>
          <w:i w:val="false"/>
          <w:sz w:val="22"/>
          <w:vertAlign w:val="superscript"/>
        </w:rPr>
        <w:t>[81]</w:t>
      </w:r>
      <w:r>
        <w:rPr>
          <w:rFonts w:eastAsia="宋体" w:ascii="Times New Roman" w:hAnsi="Times New Roman" w:cs="Times New Roman"/>
          <w:b w:val="false"/>
          <w:i w:val="false"/>
          <w:sz w:val="22"/>
        </w:rPr>
        <w:t>。2024年海外市场表现突出，点位规模和收入规模均实现同比双位数增长</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vertAlign w:val="superscript"/>
        </w:rPr>
        <w:t>[82]</w:t>
      </w:r>
      <w:r>
        <w:rPr>
          <w:rFonts w:eastAsia="宋体" w:ascii="Times New Roman" w:hAnsi="Times New Roman" w:cs="Times New Roman"/>
          <w:b w:val="false"/>
          <w:i w:val="false"/>
          <w:sz w:val="22"/>
        </w:rPr>
        <w:t>，中期目标计划5年内实现亚洲收入50亿元，10年达100亿元</w:t>
      </w:r>
      <w:r>
        <w:rPr>
          <w:rFonts w:eastAsia="宋体" w:ascii="Times New Roman" w:hAnsi="Times New Roman" w:cs="Times New Roman"/>
          <w:b w:val="false"/>
          <w:i w:val="false"/>
          <w:sz w:val="22"/>
          <w:vertAlign w:val="superscript"/>
        </w:rPr>
        <w:t>[83]</w:t>
      </w:r>
      <w:r>
        <w:rPr>
          <w:rFonts w:eastAsia="宋体" w:ascii="Times New Roman" w:hAnsi="Times New Roman" w:cs="Times New Roman"/>
          <w:b w:val="false"/>
          <w:i w:val="false"/>
          <w:sz w:val="22"/>
        </w:rPr>
        <w:t>。在区域拓展策略上，公司正积极推进巴西、墨西哥及加拿大等新兴市场的布局，为长期增长储备动能</w:t>
      </w:r>
      <w:r>
        <w:rPr>
          <w:rFonts w:eastAsia="宋体" w:ascii="Times New Roman" w:hAnsi="Times New Roman" w:cs="Times New Roman"/>
          <w:b w:val="false"/>
          <w:i w:val="false"/>
          <w:sz w:val="22"/>
          <w:vertAlign w:val="superscript"/>
        </w:rPr>
        <w:t>[79]</w:t>
      </w:r>
      <w:r>
        <w:rPr>
          <w:rFonts w:eastAsia="宋体" w:ascii="Times New Roman" w:hAnsi="Times New Roman" w:cs="Times New Roman"/>
          <w:b w:val="false"/>
          <w:i w:val="false"/>
          <w:sz w:val="22"/>
          <w:vertAlign w:val="superscript"/>
        </w:rPr>
        <w:t>[80]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海外业务阶段性成果显现，但盈利分化明显。2025年上半年，韩国市场实现扭亏为盈，净利润达2021万元，而印尼市场从2024年盈利151万元转为亏损538万元</w:t>
      </w:r>
      <w:r>
        <w:rPr>
          <w:rFonts w:eastAsia="宋体" w:ascii="Times New Roman" w:hAnsi="Times New Roman" w:cs="Times New Roman"/>
          <w:b w:val="false"/>
          <w:i w:val="false"/>
          <w:sz w:val="22"/>
          <w:vertAlign w:val="superscript"/>
        </w:rPr>
        <w:t>[81]</w:t>
      </w:r>
      <w:r>
        <w:rPr>
          <w:rFonts w:eastAsia="宋体" w:ascii="Times New Roman" w:hAnsi="Times New Roman" w:cs="Times New Roman"/>
          <w:b w:val="false"/>
          <w:i w:val="false"/>
          <w:sz w:val="22"/>
        </w:rPr>
        <w:t>。目前实现稳定盈利的地区仅中国香港、新加坡及刚盈亏平衡的印尼，其他市场仍处于1-2年的投入周期</w:t>
      </w:r>
      <w:r>
        <w:rPr>
          <w:rFonts w:eastAsia="宋体" w:ascii="Times New Roman" w:hAnsi="Times New Roman" w:cs="Times New Roman"/>
          <w:b w:val="false"/>
          <w:i w:val="false"/>
          <w:sz w:val="22"/>
          <w:vertAlign w:val="superscript"/>
        </w:rPr>
        <w:t>[84]</w:t>
      </w:r>
      <w:r>
        <w:rPr>
          <w:rFonts w:eastAsia="宋体" w:ascii="Times New Roman" w:hAnsi="Times New Roman" w:cs="Times New Roman"/>
          <w:b w:val="false"/>
          <w:i w:val="false"/>
          <w:sz w:val="22"/>
        </w:rPr>
        <w:t>。这种分化源于不同市场的本地化挑战：韩国因高广告密度经济环境适配分众模式，增速甚至超越本土企业LG U+；而印尼、泰国等地受电视媒体主导和数字广告渗透率低的制约，需重构低成本运营体系</w:t>
      </w:r>
      <w:r>
        <w:rPr>
          <w:rFonts w:eastAsia="宋体" w:ascii="Times New Roman" w:hAnsi="Times New Roman" w:cs="Times New Roman"/>
          <w:b w:val="false"/>
          <w:i w:val="false"/>
          <w:sz w:val="22"/>
          <w:vertAlign w:val="superscript"/>
        </w:rPr>
        <w:t>[84]</w:t>
      </w:r>
      <w:r>
        <w:rPr>
          <w:rFonts w:eastAsia="宋体" w:ascii="Times New Roman" w:hAnsi="Times New Roman" w:cs="Times New Roman"/>
          <w:b w:val="false"/>
          <w:i w:val="false"/>
          <w:sz w:val="22"/>
        </w:rPr>
        <w:t>。公司针对性采取三大策略：一是建立本地化服务团队，为出海企业及当地客户提供定制化方案；二是与优质物业伙伴共建资源网络；三是输出中国成熟管理经验，加速运营标准复制</w:t>
      </w:r>
      <w:r>
        <w:rPr>
          <w:rFonts w:eastAsia="宋体" w:ascii="Times New Roman" w:hAnsi="Times New Roman" w:cs="Times New Roman"/>
          <w:b w:val="false"/>
          <w:i w:val="false"/>
          <w:sz w:val="22"/>
          <w:vertAlign w:val="superscript"/>
        </w:rPr>
        <w:t>[79]</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即时零售业态的爆发为分众创造了增量需求。2025年美团、京东、阿里三大平台全面加码即时零售竞争，其中淘宝闪购宣布12个月内投入500亿补贴，美团闪购升级为战略级业务，京东秒送承诺“9分钟达”</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。分众凭借“碰一碰”技术创新深度融入生态闭环：用户通过NFC触碰电梯广告屏可即时领取消费券，跳转至平台完成核销，实现“线下曝光→线上转化→30分钟配送”的全链路贯通</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 xml:space="preserve">。这种模式显著提升转化效率，以淘宝闪购为例，活动期间客单价提升50%，用户次留率增长69% </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；永艺撑腰椅品牌通过分众投放后，抖音销售额同比增长超60%，全域ROI达行业平均水平的2-4倍</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技术赋能进一步强化海外与即时零售协同。公司部署的营销垂类大模型“众智AI”已实现广告生成、策略制定到投放优化的全流程自动化</w:t>
      </w:r>
      <w:r>
        <w:rPr>
          <w:rFonts w:eastAsia="宋体" w:ascii="Times New Roman" w:hAnsi="Times New Roman" w:cs="Times New Roman"/>
          <w:b w:val="false"/>
          <w:i w:val="false"/>
          <w:sz w:val="22"/>
          <w:vertAlign w:val="superscript"/>
        </w:rPr>
        <w:t>[86]</w:t>
      </w:r>
      <w:r>
        <w:rPr>
          <w:rFonts w:eastAsia="宋体" w:ascii="Times New Roman" w:hAnsi="Times New Roman" w:cs="Times New Roman"/>
          <w:b w:val="false"/>
          <w:i w:val="false"/>
          <w:sz w:val="22"/>
        </w:rPr>
        <w:t xml:space="preserve">，并推动AR/VR技术在迪拜等海外市场试点，扫码转化率提升50% </w:t>
      </w:r>
      <w:r>
        <w:rPr>
          <w:rFonts w:eastAsia="宋体" w:ascii="Times New Roman" w:hAnsi="Times New Roman" w:cs="Times New Roman"/>
          <w:b w:val="false"/>
          <w:i w:val="false"/>
          <w:sz w:val="22"/>
          <w:vertAlign w:val="superscript"/>
        </w:rPr>
        <w:t>[87]</w:t>
      </w:r>
      <w:r>
        <w:rPr>
          <w:rFonts w:eastAsia="宋体" w:ascii="Times New Roman" w:hAnsi="Times New Roman" w:cs="Times New Roman"/>
          <w:b w:val="false"/>
          <w:i w:val="false"/>
          <w:sz w:val="22"/>
        </w:rPr>
        <w:t>。物联网设备覆盖率持续提高，电梯屏云端推送和实时监控能力为跨国品牌提供标准化投放管理工具</w:t>
      </w:r>
      <w:r>
        <w:rPr>
          <w:rFonts w:eastAsia="宋体" w:ascii="Times New Roman" w:hAnsi="Times New Roman" w:cs="Times New Roman"/>
          <w:b w:val="false"/>
          <w:i w:val="false"/>
          <w:sz w:val="22"/>
          <w:vertAlign w:val="superscript"/>
        </w:rPr>
        <w:t>[86]</w:t>
      </w:r>
      <w:r>
        <w:rPr>
          <w:rFonts w:eastAsia="宋体" w:ascii="Times New Roman" w:hAnsi="Times New Roman" w:cs="Times New Roman"/>
          <w:b w:val="false"/>
          <w:i w:val="false"/>
          <w:sz w:val="22"/>
        </w:rPr>
        <w:t>。即时零售平台的数据接口（如阿里云瓴羊）与分众系统打通，广告主可实时追踪到店率、核销率等核心指标，优化全球营销策略</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true"/>
          <w:sz w:val="22"/>
        </w:rPr>
        <w:t>表：分众传媒海外业务关键指标（2025H1）</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区域市场</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设备规模(万台)</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盈利状况</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增长特征</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韩国</w:t>
            </w:r>
          </w:p>
        </w:tc>
        <w:tc>
          <w:tcPr>
            <w:tcW w:type="dxa" w:w="3060"/>
            <w:vAlign w:val="center"/>
          </w:tcPr>
          <w:p>
            <w:r>
              <w:rPr>
                <w:rFonts w:eastAsia="宋体" w:ascii="Times New Roman" w:hAnsi="Times New Roman" w:cs="Times New Roman"/>
                <w:b w:val="false"/>
                <w:i w:val="false"/>
                <w:sz w:val="22"/>
              </w:rPr>
              <w:t>12.0</w:t>
            </w:r>
          </w:p>
        </w:tc>
        <w:tc>
          <w:tcPr>
            <w:tcW w:type="dxa" w:w="3060"/>
            <w:vAlign w:val="center"/>
          </w:tcPr>
          <w:p>
            <w:r>
              <w:rPr>
                <w:rFonts w:eastAsia="宋体" w:ascii="Times New Roman" w:hAnsi="Times New Roman" w:cs="Times New Roman"/>
                <w:b w:val="false"/>
                <w:i w:val="false"/>
                <w:sz w:val="22"/>
              </w:rPr>
              <w:t>盈利2021万元</w:t>
            </w:r>
          </w:p>
        </w:tc>
        <w:tc>
          <w:tcPr>
            <w:tcW w:type="dxa" w:w="3060"/>
            <w:vAlign w:val="center"/>
          </w:tcPr>
          <w:p>
            <w:r>
              <w:rPr>
                <w:rFonts w:eastAsia="宋体" w:ascii="Times New Roman" w:hAnsi="Times New Roman" w:cs="Times New Roman"/>
                <w:b w:val="false"/>
                <w:i w:val="false"/>
                <w:sz w:val="22"/>
              </w:rPr>
              <w:t>增速超本土企业LG U+</w:t>
            </w:r>
          </w:p>
        </w:tc>
      </w:tr>
      <w:tr>
        <w:tc>
          <w:tcPr>
            <w:tcW w:type="dxa" w:w="3060"/>
            <w:vAlign w:val="center"/>
          </w:tcPr>
          <w:p>
            <w:r>
              <w:rPr>
                <w:rFonts w:eastAsia="宋体" w:ascii="Times New Roman" w:hAnsi="Times New Roman" w:cs="Times New Roman"/>
                <w:b w:val="false"/>
                <w:i w:val="false"/>
                <w:sz w:val="22"/>
              </w:rPr>
              <w:t>新加坡</w:t>
            </w:r>
          </w:p>
        </w:tc>
        <w:tc>
          <w:tcPr>
            <w:tcW w:type="dxa" w:w="3060"/>
            <w:vAlign w:val="center"/>
          </w:tcPr>
          <w:p>
            <w:r>
              <w:rPr>
                <w:rFonts w:eastAsia="宋体" w:ascii="Times New Roman" w:hAnsi="Times New Roman" w:cs="Times New Roman"/>
                <w:b w:val="false"/>
                <w:i w:val="false"/>
                <w:sz w:val="22"/>
              </w:rPr>
              <w:t>1.5</w:t>
            </w:r>
          </w:p>
        </w:tc>
        <w:tc>
          <w:tcPr>
            <w:tcW w:type="dxa" w:w="3060"/>
            <w:vAlign w:val="center"/>
          </w:tcPr>
          <w:p>
            <w:r>
              <w:rPr>
                <w:rFonts w:eastAsia="宋体" w:ascii="Times New Roman" w:hAnsi="Times New Roman" w:cs="Times New Roman"/>
                <w:b w:val="false"/>
                <w:i w:val="false"/>
                <w:sz w:val="22"/>
              </w:rPr>
              <w:t>稳定盈利</w:t>
            </w:r>
          </w:p>
        </w:tc>
        <w:tc>
          <w:tcPr>
            <w:tcW w:type="dxa" w:w="3060"/>
            <w:vAlign w:val="center"/>
          </w:tcPr>
          <w:p>
            <w:r>
              <w:rPr>
                <w:rFonts w:eastAsia="宋体" w:ascii="Times New Roman" w:hAnsi="Times New Roman" w:cs="Times New Roman"/>
                <w:b w:val="false"/>
                <w:i w:val="false"/>
                <w:sz w:val="22"/>
              </w:rPr>
              <w:t>高广告密度经济体适配</w:t>
            </w:r>
          </w:p>
        </w:tc>
      </w:tr>
      <w:tr>
        <w:tc>
          <w:tcPr>
            <w:tcW w:type="dxa" w:w="3060"/>
            <w:vAlign w:val="center"/>
          </w:tcPr>
          <w:p>
            <w:r>
              <w:rPr>
                <w:rFonts w:eastAsia="宋体" w:ascii="Times New Roman" w:hAnsi="Times New Roman" w:cs="Times New Roman"/>
                <w:b w:val="false"/>
                <w:i w:val="false"/>
                <w:sz w:val="22"/>
              </w:rPr>
              <w:t>印尼</w:t>
            </w:r>
          </w:p>
        </w:tc>
        <w:tc>
          <w:tcPr>
            <w:tcW w:type="dxa" w:w="3060"/>
            <w:vAlign w:val="center"/>
          </w:tcPr>
          <w:p>
            <w:r>
              <w:rPr>
                <w:rFonts w:eastAsia="宋体" w:ascii="Times New Roman" w:hAnsi="Times New Roman" w:cs="Times New Roman"/>
                <w:b w:val="false"/>
                <w:i w:val="false"/>
                <w:sz w:val="22"/>
              </w:rPr>
              <w:t>2.2</w:t>
            </w:r>
          </w:p>
        </w:tc>
        <w:tc>
          <w:tcPr>
            <w:tcW w:type="dxa" w:w="3060"/>
            <w:vAlign w:val="center"/>
          </w:tcPr>
          <w:p>
            <w:r>
              <w:rPr>
                <w:rFonts w:eastAsia="宋体" w:ascii="Times New Roman" w:hAnsi="Times New Roman" w:cs="Times New Roman"/>
                <w:b w:val="false"/>
                <w:i w:val="false"/>
                <w:sz w:val="22"/>
              </w:rPr>
              <w:t>亏损538万元</w:t>
            </w:r>
          </w:p>
        </w:tc>
        <w:tc>
          <w:tcPr>
            <w:tcW w:type="dxa" w:w="3060"/>
            <w:vAlign w:val="center"/>
          </w:tcPr>
          <w:p>
            <w:r>
              <w:rPr>
                <w:rFonts w:eastAsia="宋体" w:ascii="Times New Roman" w:hAnsi="Times New Roman" w:cs="Times New Roman"/>
                <w:b w:val="false"/>
                <w:i w:val="false"/>
                <w:sz w:val="22"/>
              </w:rPr>
              <w:t>电视媒体主导，数字渗透率低</w:t>
            </w:r>
          </w:p>
        </w:tc>
      </w:tr>
      <w:tr>
        <w:tc>
          <w:tcPr>
            <w:tcW w:type="dxa" w:w="3060"/>
            <w:vAlign w:val="center"/>
          </w:tcPr>
          <w:p>
            <w:r>
              <w:rPr>
                <w:rFonts w:eastAsia="宋体" w:ascii="Times New Roman" w:hAnsi="Times New Roman" w:cs="Times New Roman"/>
                <w:b w:val="false"/>
                <w:i w:val="false"/>
                <w:sz w:val="22"/>
              </w:rPr>
              <w:t>阿联酋</w:t>
            </w:r>
          </w:p>
        </w:tc>
        <w:tc>
          <w:tcPr>
            <w:tcW w:type="dxa" w:w="3060"/>
            <w:vAlign w:val="center"/>
          </w:tcPr>
          <w:p>
            <w:r>
              <w:rPr>
                <w:rFonts w:eastAsia="宋体" w:ascii="Times New Roman" w:hAnsi="Times New Roman" w:cs="Times New Roman"/>
                <w:b w:val="false"/>
                <w:i w:val="false"/>
                <w:sz w:val="22"/>
              </w:rPr>
              <w:t>0.8</w:t>
            </w:r>
          </w:p>
        </w:tc>
        <w:tc>
          <w:tcPr>
            <w:tcW w:type="dxa" w:w="3060"/>
            <w:vAlign w:val="center"/>
          </w:tcPr>
          <w:p>
            <w:r>
              <w:rPr>
                <w:rFonts w:eastAsia="宋体" w:ascii="Times New Roman" w:hAnsi="Times New Roman" w:cs="Times New Roman"/>
                <w:b w:val="false"/>
                <w:i w:val="false"/>
                <w:sz w:val="22"/>
              </w:rPr>
              <w:t>投入期</w:t>
            </w:r>
          </w:p>
        </w:tc>
        <w:tc>
          <w:tcPr>
            <w:tcW w:type="dxa" w:w="3060"/>
            <w:vAlign w:val="center"/>
          </w:tcPr>
          <w:p>
            <w:r>
              <w:rPr>
                <w:rFonts w:eastAsia="宋体" w:ascii="Times New Roman" w:hAnsi="Times New Roman" w:cs="Times New Roman"/>
                <w:b w:val="false"/>
                <w:i w:val="false"/>
                <w:sz w:val="22"/>
              </w:rPr>
              <w:t>新兴市场增量显著</w:t>
            </w:r>
          </w:p>
        </w:tc>
      </w:tr>
      <w:tr>
        <w:tc>
          <w:tcPr>
            <w:tcW w:type="dxa" w:w="3060"/>
            <w:vAlign w:val="center"/>
          </w:tcPr>
          <w:p>
            <w:r>
              <w:rPr>
                <w:rFonts w:eastAsia="宋体" w:ascii="Times New Roman" w:hAnsi="Times New Roman" w:cs="Times New Roman"/>
                <w:b w:val="false"/>
                <w:i w:val="false"/>
                <w:sz w:val="22"/>
              </w:rPr>
              <w:t>其他7国</w:t>
            </w:r>
          </w:p>
        </w:tc>
        <w:tc>
          <w:tcPr>
            <w:tcW w:type="dxa" w:w="3060"/>
            <w:vAlign w:val="center"/>
          </w:tcPr>
          <w:p>
            <w:r>
              <w:rPr>
                <w:rFonts w:eastAsia="宋体" w:ascii="Times New Roman" w:hAnsi="Times New Roman" w:cs="Times New Roman"/>
                <w:b w:val="false"/>
                <w:i w:val="false"/>
                <w:sz w:val="22"/>
              </w:rPr>
              <w:t>1.5</w:t>
            </w:r>
          </w:p>
        </w:tc>
        <w:tc>
          <w:tcPr>
            <w:tcW w:type="dxa" w:w="3060"/>
            <w:vAlign w:val="center"/>
          </w:tcPr>
          <w:p>
            <w:r>
              <w:rPr>
                <w:rFonts w:eastAsia="宋体" w:ascii="Times New Roman" w:hAnsi="Times New Roman" w:cs="Times New Roman"/>
                <w:b w:val="false"/>
                <w:i w:val="false"/>
                <w:sz w:val="22"/>
              </w:rPr>
              <w:t>普遍亏损</w:t>
            </w:r>
          </w:p>
        </w:tc>
        <w:tc>
          <w:tcPr>
            <w:tcW w:type="dxa" w:w="3060"/>
            <w:vAlign w:val="center"/>
          </w:tcPr>
          <w:p>
            <w:r>
              <w:rPr>
                <w:rFonts w:eastAsia="宋体" w:ascii="Times New Roman" w:hAnsi="Times New Roman" w:cs="Times New Roman"/>
                <w:b w:val="false"/>
                <w:i w:val="false"/>
                <w:sz w:val="22"/>
              </w:rPr>
              <w:t>本地化运营重构中</w:t>
            </w:r>
          </w:p>
        </w:tc>
      </w:tr>
    </w:tbl>
    <w:p>
      <w:pPr>
        <w:spacing w:line="240" w:lineRule="auto" w:before="120" w:after="120"/>
        <w:ind w:firstLine="0"/>
        <w:jc w:val="left"/>
      </w:pPr>
      <w:r>
        <w:rPr>
          <w:rFonts w:eastAsia="宋体" w:ascii="Times New Roman" w:hAnsi="Times New Roman" w:cs="Times New Roman"/>
          <w:b w:val="false"/>
          <w:i w:val="true"/>
          <w:sz w:val="22"/>
        </w:rPr>
        <w:t>数据来源：公司公告及机构调研纪要</w:t>
      </w:r>
      <w:r>
        <w:rPr>
          <w:rFonts w:eastAsia="宋体" w:ascii="Times New Roman" w:hAnsi="Times New Roman" w:cs="Times New Roman"/>
          <w:b w:val="false"/>
          <w:i w:val="false"/>
          <w:sz w:val="22"/>
          <w:vertAlign w:val="superscript"/>
        </w:rPr>
        <w:t>[81]</w:t>
      </w:r>
      <w:r>
        <w:rPr>
          <w:rFonts w:eastAsia="宋体" w:ascii="Times New Roman" w:hAnsi="Times New Roman" w:cs="Times New Roman"/>
          <w:b w:val="false"/>
          <w:i w:val="false"/>
          <w:sz w:val="22"/>
          <w:vertAlign w:val="superscript"/>
        </w:rPr>
        <w:t>[83]</w:t>
      </w:r>
    </w:p>
    <w:p>
      <w:pPr>
        <w:spacing w:line="240" w:lineRule="auto" w:before="120" w:after="120"/>
        <w:ind w:firstLine="0"/>
        <w:jc w:val="left"/>
      </w:pPr>
      <w:r>
        <w:rPr>
          <w:rFonts w:eastAsia="宋体" w:ascii="Times New Roman" w:hAnsi="Times New Roman" w:cs="Times New Roman"/>
          <w:b w:val="false"/>
          <w:i w:val="true"/>
          <w:sz w:val="22"/>
        </w:rPr>
        <w:t>表：即时零售平台与分众合作模式</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平台</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战略动作</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分众赋能形式</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转化成效</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淘宝闪购</w:t>
            </w:r>
          </w:p>
        </w:tc>
        <w:tc>
          <w:tcPr>
            <w:tcW w:type="dxa" w:w="3060"/>
            <w:vAlign w:val="center"/>
          </w:tcPr>
          <w:p>
            <w:r>
              <w:rPr>
                <w:rFonts w:eastAsia="宋体" w:ascii="Times New Roman" w:hAnsi="Times New Roman" w:cs="Times New Roman"/>
                <w:b w:val="false"/>
                <w:i w:val="false"/>
                <w:sz w:val="22"/>
              </w:rPr>
              <w:t>12个月500亿补贴</w:t>
            </w:r>
          </w:p>
        </w:tc>
        <w:tc>
          <w:tcPr>
            <w:tcW w:type="dxa" w:w="3060"/>
            <w:vAlign w:val="center"/>
          </w:tcPr>
          <w:p>
            <w:r>
              <w:rPr>
                <w:rFonts w:eastAsia="宋体" w:ascii="Times New Roman" w:hAnsi="Times New Roman" w:cs="Times New Roman"/>
                <w:b w:val="false"/>
                <w:i w:val="false"/>
                <w:sz w:val="22"/>
              </w:rPr>
              <w:t>NFC碰一碰发券+首页流量入口导流</w:t>
            </w:r>
          </w:p>
        </w:tc>
        <w:tc>
          <w:tcPr>
            <w:tcW w:type="dxa" w:w="3060"/>
            <w:vAlign w:val="center"/>
          </w:tcPr>
          <w:p>
            <w:r>
              <w:rPr>
                <w:rFonts w:eastAsia="宋体" w:ascii="Times New Roman" w:hAnsi="Times New Roman" w:cs="Times New Roman"/>
                <w:b w:val="false"/>
                <w:i w:val="false"/>
                <w:sz w:val="22"/>
              </w:rPr>
              <w:t xml:space="preserve">客单+50%，次留率+69% </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美团闪购</w:t>
            </w:r>
          </w:p>
        </w:tc>
        <w:tc>
          <w:tcPr>
            <w:tcW w:type="dxa" w:w="3060"/>
            <w:vAlign w:val="center"/>
          </w:tcPr>
          <w:p>
            <w:r>
              <w:rPr>
                <w:rFonts w:eastAsia="宋体" w:ascii="Times New Roman" w:hAnsi="Times New Roman" w:cs="Times New Roman"/>
                <w:b w:val="false"/>
                <w:i w:val="false"/>
                <w:sz w:val="22"/>
              </w:rPr>
              <w:t>升级“24小时陪伴平台”</w:t>
            </w:r>
          </w:p>
        </w:tc>
        <w:tc>
          <w:tcPr>
            <w:tcW w:type="dxa" w:w="3060"/>
            <w:vAlign w:val="center"/>
          </w:tcPr>
          <w:p>
            <w:r>
              <w:rPr>
                <w:rFonts w:eastAsia="宋体" w:ascii="Times New Roman" w:hAnsi="Times New Roman" w:cs="Times New Roman"/>
                <w:b w:val="false"/>
                <w:i w:val="false"/>
                <w:sz w:val="22"/>
              </w:rPr>
              <w:t>楼宇场景发券+即时配送联动</w:t>
            </w:r>
          </w:p>
        </w:tc>
        <w:tc>
          <w:tcPr>
            <w:tcW w:type="dxa" w:w="3060"/>
            <w:vAlign w:val="center"/>
          </w:tcPr>
          <w:p>
            <w:r>
              <w:rPr>
                <w:rFonts w:eastAsia="宋体" w:ascii="Times New Roman" w:hAnsi="Times New Roman" w:cs="Times New Roman"/>
                <w:b w:val="false"/>
                <w:i w:val="false"/>
                <w:sz w:val="22"/>
              </w:rPr>
              <w:t xml:space="preserve">活动期间触点时效提前72% </w:t>
            </w:r>
            <w:r>
              <w:rPr>
                <w:rFonts w:eastAsia="宋体" w:ascii="Times New Roman" w:hAnsi="Times New Roman" w:cs="Times New Roman"/>
                <w:b w:val="false"/>
                <w:i w:val="false"/>
                <w:sz w:val="22"/>
                <w:vertAlign w:val="superscript"/>
              </w:rPr>
              <w:t>[85]</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京东秒送</w:t>
            </w:r>
          </w:p>
        </w:tc>
        <w:tc>
          <w:tcPr>
            <w:tcW w:type="dxa" w:w="3060"/>
            <w:vAlign w:val="center"/>
          </w:tcPr>
          <w:p>
            <w:r>
              <w:rPr>
                <w:rFonts w:eastAsia="宋体" w:ascii="Times New Roman" w:hAnsi="Times New Roman" w:cs="Times New Roman"/>
                <w:b w:val="false"/>
                <w:i w:val="false"/>
                <w:sz w:val="22"/>
              </w:rPr>
              <w:t>“9分钟达”时效承诺</w:t>
            </w:r>
          </w:p>
        </w:tc>
        <w:tc>
          <w:tcPr>
            <w:tcW w:type="dxa" w:w="3060"/>
            <w:vAlign w:val="center"/>
          </w:tcPr>
          <w:p>
            <w:r>
              <w:rPr>
                <w:rFonts w:eastAsia="宋体" w:ascii="Times New Roman" w:hAnsi="Times New Roman" w:cs="Times New Roman"/>
                <w:b w:val="false"/>
                <w:i w:val="false"/>
                <w:sz w:val="22"/>
              </w:rPr>
              <w:t>社区屏精准触达+LBS优惠推送</w:t>
            </w:r>
          </w:p>
        </w:tc>
        <w:tc>
          <w:tcPr>
            <w:tcW w:type="dxa" w:w="3060"/>
            <w:vAlign w:val="center"/>
          </w:tcPr>
          <w:p>
            <w:r>
              <w:rPr>
                <w:rFonts w:eastAsia="宋体" w:ascii="Times New Roman" w:hAnsi="Times New Roman" w:cs="Times New Roman"/>
                <w:b w:val="false"/>
                <w:i w:val="false"/>
                <w:sz w:val="22"/>
              </w:rPr>
              <w:t>新客获取成本降低30%*</w:t>
            </w:r>
          </w:p>
        </w:tc>
      </w:tr>
      <w:tr>
        <w:tc>
          <w:tcPr>
            <w:tcW w:type="dxa" w:w="3060"/>
            <w:vAlign w:val="center"/>
          </w:tcPr>
          <w:p>
            <w:r>
              <w:rPr>
                <w:rFonts w:eastAsia="宋体" w:ascii="Times New Roman" w:hAnsi="Times New Roman" w:cs="Times New Roman"/>
                <w:b w:val="false"/>
                <w:i w:val="true"/>
                <w:sz w:val="22"/>
              </w:rPr>
              <w:t>注：京东数据综合券商访谈</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false"/>
                <w:i w:val="false"/>
                <w:sz w:val="22"/>
              </w:rPr>
              <w:t xml:space="preserve"> </w:t>
            </w:r>
          </w:p>
        </w:tc>
        <w:tc>
          <w:tcPr>
            <w:tcW w:type="dxa" w:w="3060"/>
            <w:vAlign w:val="center"/>
          </w:tcPr>
          <w:p>
            <w:r>
              <w:rPr>
                <w:rFonts w:eastAsia="宋体" w:ascii="Times New Roman" w:hAnsi="Times New Roman" w:cs="Times New Roman"/>
                <w:b w:val="false"/>
                <w:i w:val="false"/>
                <w:sz w:val="22"/>
              </w:rPr>
              <w:t xml:space="preserve"> </w:t>
            </w:r>
          </w:p>
        </w:tc>
        <w:tc>
          <w:tcPr>
            <w:tcW w:type="dxa" w:w="3060"/>
            <w:vAlign w:val="center"/>
          </w:tcPr>
          <w:p>
            <w:r>
              <w:rPr>
                <w:rFonts w:eastAsia="宋体" w:ascii="Times New Roman" w:hAnsi="Times New Roman" w:cs="Times New Roman"/>
                <w:b w:val="false"/>
                <w:i w:val="false"/>
                <w:sz w:val="22"/>
              </w:rPr>
              <w:t xml:space="preserve"> </w:t>
            </w:r>
          </w:p>
        </w:tc>
      </w:tr>
    </w:tbl>
    <w:p>
      <w:pPr>
        <w:pStyle w:val="EM_H1_STYLE"/>
        <w:spacing w:line="240" w:lineRule="auto" w:before="600" w:after="120"/>
        <w:ind w:left="0"/>
        <w:jc w:val="left"/>
      </w:pPr>
      <w:r>
        <w:rPr>
          <w:rFonts w:eastAsia="宋体" w:ascii="宋体" w:hAnsi="宋体" w:cs="宋体"/>
          <w:b w:val="true"/>
          <w:i w:val="false"/>
          <w:sz w:val="36"/>
        </w:rPr>
        <w:t>4. 财务分析</w:t>
      </w:r>
    </w:p>
    <w:p>
      <w:pPr>
        <w:spacing w:line="240" w:lineRule="auto" w:before="120" w:after="120"/>
        <w:ind w:firstLine="0"/>
        <w:jc w:val="left"/>
      </w:pPr>
    </w:p>
    <w:p>
      <w:pPr>
        <w:pStyle w:val="EM_H2_STYLE"/>
        <w:spacing w:line="240" w:lineRule="auto" w:before="120" w:after="120"/>
        <w:ind w:left="0"/>
        <w:jc w:val="left"/>
      </w:pPr>
      <w:r>
        <w:rPr>
          <w:rFonts w:eastAsia="宋体" w:ascii="宋体" w:hAnsi="宋体" w:cs="宋体"/>
          <w:b w:val="true"/>
          <w:i w:val="false"/>
          <w:sz w:val="28"/>
        </w:rPr>
        <w:t>4.1 收入与利润趋势</w:t>
      </w:r>
    </w:p>
    <w:p>
      <w:pPr>
        <w:spacing w:line="240" w:lineRule="auto" w:before="120" w:after="120"/>
        <w:ind w:left="0"/>
        <w:jc w:val="left"/>
      </w:pPr>
      <w:r>
        <w:rPr>
          <w:rFonts w:eastAsia="宋体" w:ascii="宋体" w:hAnsi="宋体" w:cs="宋体"/>
          <w:b w:val="true"/>
          <w:i w:val="false"/>
          <w:sz w:val="24"/>
        </w:rPr>
        <w:t>收入与利润趋势</w:t>
      </w:r>
    </w:p>
    <w:p>
      <w:pPr>
        <w:spacing w:line="240" w:lineRule="auto" w:before="120" w:after="120"/>
        <w:ind w:firstLine="0"/>
        <w:jc w:val="left"/>
      </w:pPr>
      <w:r>
        <w:rPr>
          <w:rFonts w:eastAsia="宋体" w:ascii="Times New Roman" w:hAnsi="Times New Roman" w:cs="Times New Roman"/>
          <w:b w:val="false"/>
          <w:i w:val="false"/>
          <w:sz w:val="22"/>
        </w:rPr>
        <w:t>分众传媒2025年实现营业收入127.59亿元，较2024年的122.62亿元增长4.05%，延续了营收稳步扩张的态势</w:t>
      </w:r>
      <w:r>
        <w:rPr>
          <w:rFonts w:eastAsia="宋体" w:ascii="Times New Roman" w:hAnsi="Times New Roman" w:cs="Times New Roman"/>
          <w:b w:val="false"/>
          <w:i w:val="false"/>
          <w:sz w:val="22"/>
          <w:vertAlign w:val="superscript"/>
        </w:rPr>
        <w:t>[88]</w:t>
      </w:r>
      <w:r>
        <w:rPr>
          <w:rFonts w:eastAsia="宋体" w:ascii="Times New Roman" w:hAnsi="Times New Roman" w:cs="Times New Roman"/>
          <w:b w:val="false"/>
          <w:i w:val="false"/>
          <w:sz w:val="22"/>
          <w:vertAlign w:val="superscript"/>
        </w:rPr>
        <w:t>[89]</w:t>
      </w:r>
      <w:r>
        <w:rPr>
          <w:rFonts w:eastAsia="宋体" w:ascii="Times New Roman" w:hAnsi="Times New Roman" w:cs="Times New Roman"/>
          <w:b w:val="false"/>
          <w:i w:val="false"/>
          <w:sz w:val="22"/>
        </w:rPr>
        <w:t>。收入增长主要源于楼宇媒体业务的持续发力，该板块贡献120.34亿元，同比增长4.20%，占营收比重达94.32%；影院媒体业务收入6.39亿元，同比下滑7.24%，主要受部分行业客户预算收缩及市场竞争加剧影响</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。从行业结构看，日用消费品收入显著承压，楼宇媒体中的日用消费品收入从72.05亿元降至60.36亿元，降幅16.22%；而互联网行业收入表现亮眼，从11.12亿元激增至32.08亿元，增幅高达188.59%，成为核心增长引擎</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。这种结构性转变反映公司客户矩阵从传统快消向“高弹性互联网+AI”的优化，契合行业数字化升级趋势</w:t>
      </w:r>
      <w:r>
        <w:rPr>
          <w:rFonts w:eastAsia="宋体" w:ascii="Times New Roman" w:hAnsi="Times New Roman" w:cs="Times New Roman"/>
          <w:b w:val="false"/>
          <w:i w:val="false"/>
          <w:sz w:val="22"/>
          <w:vertAlign w:val="superscript"/>
        </w:rPr>
        <w:t>[90]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 xml:space="preserve">利润端则呈现显著分化：2025年归属母公司净利润29.46亿元，同比大幅下滑42.85%；扣非净利润27.19亿元，同比下降41.74% </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[88]</w:t>
      </w:r>
      <w:r>
        <w:rPr>
          <w:rFonts w:eastAsia="宋体" w:ascii="Times New Roman" w:hAnsi="Times New Roman" w:cs="Times New Roman"/>
          <w:b w:val="false"/>
          <w:i w:val="false"/>
          <w:sz w:val="22"/>
        </w:rPr>
        <w:t>。利润下滑的核心原因是公司计提对联营企业数禾科技的长期股权投资减值损失21.52亿元，叠加第四季度数禾科技亏损导致的净利润减少约25.28亿元</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。若排除该一次性减值影响，公司主营业务实际保持平稳增长，与主营相关的经营业绩未出现实质性恶化</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。值得注意的是，公司现金流表现稳健，经营活动现金流量净额达72.09亿元，同比增长8.54%，反映核心业务造血能力未受利润波动影响</w:t>
      </w:r>
      <w:r>
        <w:rPr>
          <w:rFonts w:eastAsia="宋体" w:ascii="Times New Roman" w:hAnsi="Times New Roman" w:cs="Times New Roman"/>
          <w:b w:val="false"/>
          <w:i w:val="false"/>
          <w:sz w:val="22"/>
          <w:vertAlign w:val="superscript"/>
        </w:rPr>
        <w:t>[88]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分季度观察，2025年业绩呈现前高后低特征：前三季度营收96.07亿元（同比+3.73%），归母净利润42.40亿元（同比+6.87%），毛利率创近年新高</w:t>
      </w:r>
      <w:r>
        <w:rPr>
          <w:rFonts w:eastAsia="宋体" w:ascii="Times New Roman" w:hAnsi="Times New Roman" w:cs="Times New Roman"/>
          <w:b w:val="false"/>
          <w:i w:val="false"/>
          <w:sz w:val="22"/>
          <w:vertAlign w:val="superscript"/>
        </w:rPr>
        <w:t>[91]</w:t>
      </w:r>
      <w:r>
        <w:rPr>
          <w:rFonts w:eastAsia="宋体" w:ascii="Times New Roman" w:hAnsi="Times New Roman" w:cs="Times New Roman"/>
          <w:b w:val="false"/>
          <w:i w:val="false"/>
          <w:sz w:val="22"/>
        </w:rPr>
        <w:t>；但第四季度因减值计提导致单季净利率骤降至-41.45%，拖累全年表现</w:t>
      </w:r>
      <w:r>
        <w:rPr>
          <w:rFonts w:eastAsia="宋体" w:ascii="Times New Roman" w:hAnsi="Times New Roman" w:cs="Times New Roman"/>
          <w:b w:val="false"/>
          <w:i w:val="false"/>
          <w:sz w:val="22"/>
          <w:vertAlign w:val="superscript"/>
        </w:rPr>
        <w:t>[92]</w:t>
      </w:r>
      <w:r>
        <w:rPr>
          <w:rFonts w:eastAsia="宋体" w:ascii="Times New Roman" w:hAnsi="Times New Roman" w:cs="Times New Roman"/>
          <w:b w:val="false"/>
          <w:i w:val="false"/>
          <w:sz w:val="22"/>
        </w:rPr>
        <w:t>。进入2026年，一季度业绩强势反弹：营收29.15亿元（同比+2.01%），归母净利润17.90亿元（同比+57.65%），净利率回升至61.21%，主要受益于减值出清及AI广告需求增长</w:t>
      </w:r>
      <w:r>
        <w:rPr>
          <w:rFonts w:eastAsia="宋体" w:ascii="Times New Roman" w:hAnsi="Times New Roman" w:cs="Times New Roman"/>
          <w:b w:val="false"/>
          <w:i w:val="false"/>
          <w:sz w:val="22"/>
          <w:vertAlign w:val="superscript"/>
        </w:rPr>
        <w:t>[93]</w:t>
      </w:r>
      <w:r>
        <w:rPr>
          <w:rFonts w:eastAsia="宋体" w:ascii="Times New Roman" w:hAnsi="Times New Roman" w:cs="Times New Roman"/>
          <w:b w:val="false"/>
          <w:i w:val="false"/>
          <w:sz w:val="22"/>
          <w:vertAlign w:val="superscript"/>
        </w:rPr>
        <w:t>[94]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表：分众传媒2025年主要财务指标</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指标</w:t>
            </w:r>
          </w:p>
        </w:tc>
        <w:tc>
          <w:tcPr>
            <w:tcW w:type="dxa" w:w="4080"/>
            <w:vAlign w:val="center"/>
          </w:tcPr>
          <w:p>
            <w:r>
              <w:rPr>
                <w:rFonts w:eastAsia="宋体" w:ascii="Times New Roman" w:hAnsi="Times New Roman" w:cs="Times New Roman"/>
                <w:b w:val="false"/>
                <w:i w:val="false"/>
                <w:sz w:val="22"/>
              </w:rPr>
              <w:t>2025年数值</w:t>
            </w:r>
          </w:p>
        </w:tc>
        <w:tc>
          <w:tcPr>
            <w:tcW w:type="dxa" w:w="4080"/>
            <w:vAlign w:val="center"/>
          </w:tcPr>
          <w:p>
            <w:r>
              <w:rPr>
                <w:rFonts w:eastAsia="宋体" w:ascii="Times New Roman" w:hAnsi="Times New Roman" w:cs="Times New Roman"/>
                <w:b w:val="false"/>
                <w:i w:val="false"/>
                <w:sz w:val="22"/>
              </w:rPr>
              <w:t>同比变化</w:t>
            </w:r>
          </w:p>
        </w:tc>
      </w:tr>
      <w:tr>
        <w:tc>
          <w:tcPr>
            <w:tcW w:type="dxa" w:w="4080"/>
            <w:vAlign w:val="center"/>
          </w:tcPr>
          <w:p>
            <w:r>
              <w:rPr>
                <w:rFonts w:eastAsia="宋体" w:ascii="Times New Roman" w:hAnsi="Times New Roman" w:cs="Times New Roman"/>
                <w:b w:val="false"/>
                <w:i w:val="false"/>
                <w:sz w:val="22"/>
              </w:rPr>
              <w:t>营业收入</w:t>
            </w:r>
          </w:p>
        </w:tc>
        <w:tc>
          <w:tcPr>
            <w:tcW w:type="dxa" w:w="4080"/>
            <w:vAlign w:val="center"/>
          </w:tcPr>
          <w:p>
            <w:r>
              <w:rPr>
                <w:rFonts w:eastAsia="宋体" w:ascii="Times New Roman" w:hAnsi="Times New Roman" w:cs="Times New Roman"/>
                <w:b w:val="false"/>
                <w:i w:val="false"/>
                <w:sz w:val="22"/>
              </w:rPr>
              <w:t>127.59亿元</w:t>
            </w:r>
          </w:p>
        </w:tc>
        <w:tc>
          <w:tcPr>
            <w:tcW w:type="dxa" w:w="4080"/>
            <w:vAlign w:val="center"/>
          </w:tcPr>
          <w:p>
            <w:r>
              <w:rPr>
                <w:rFonts w:eastAsia="宋体" w:ascii="Times New Roman" w:hAnsi="Times New Roman" w:cs="Times New Roman"/>
                <w:b w:val="false"/>
                <w:i w:val="false"/>
                <w:sz w:val="22"/>
              </w:rPr>
              <w:t>+4.05%</w:t>
            </w:r>
          </w:p>
        </w:tc>
      </w:tr>
      <w:tr>
        <w:tc>
          <w:tcPr>
            <w:tcW w:type="dxa" w:w="4080"/>
            <w:vAlign w:val="center"/>
          </w:tcPr>
          <w:p>
            <w:r>
              <w:rPr>
                <w:rFonts w:eastAsia="宋体" w:ascii="Times New Roman" w:hAnsi="Times New Roman" w:cs="Times New Roman"/>
                <w:b w:val="false"/>
                <w:i w:val="false"/>
                <w:sz w:val="22"/>
              </w:rPr>
              <w:t>归属母公司净利润</w:t>
            </w:r>
          </w:p>
        </w:tc>
        <w:tc>
          <w:tcPr>
            <w:tcW w:type="dxa" w:w="4080"/>
            <w:vAlign w:val="center"/>
          </w:tcPr>
          <w:p>
            <w:r>
              <w:rPr>
                <w:rFonts w:eastAsia="宋体" w:ascii="Times New Roman" w:hAnsi="Times New Roman" w:cs="Times New Roman"/>
                <w:b w:val="false"/>
                <w:i w:val="false"/>
                <w:sz w:val="22"/>
              </w:rPr>
              <w:t>29.46亿元</w:t>
            </w:r>
          </w:p>
        </w:tc>
        <w:tc>
          <w:tcPr>
            <w:tcW w:type="dxa" w:w="4080"/>
            <w:vAlign w:val="center"/>
          </w:tcPr>
          <w:p>
            <w:r>
              <w:rPr>
                <w:rFonts w:eastAsia="宋体" w:ascii="Times New Roman" w:hAnsi="Times New Roman" w:cs="Times New Roman"/>
                <w:b w:val="false"/>
                <w:i w:val="false"/>
                <w:sz w:val="22"/>
              </w:rPr>
              <w:t>-42.85%</w:t>
            </w:r>
          </w:p>
        </w:tc>
      </w:tr>
      <w:tr>
        <w:tc>
          <w:tcPr>
            <w:tcW w:type="dxa" w:w="4080"/>
            <w:vAlign w:val="center"/>
          </w:tcPr>
          <w:p>
            <w:r>
              <w:rPr>
                <w:rFonts w:eastAsia="宋体" w:ascii="Times New Roman" w:hAnsi="Times New Roman" w:cs="Times New Roman"/>
                <w:b w:val="false"/>
                <w:i w:val="false"/>
                <w:sz w:val="22"/>
              </w:rPr>
              <w:t>扣非净利润</w:t>
            </w:r>
          </w:p>
        </w:tc>
        <w:tc>
          <w:tcPr>
            <w:tcW w:type="dxa" w:w="4080"/>
            <w:vAlign w:val="center"/>
          </w:tcPr>
          <w:p>
            <w:r>
              <w:rPr>
                <w:rFonts w:eastAsia="宋体" w:ascii="Times New Roman" w:hAnsi="Times New Roman" w:cs="Times New Roman"/>
                <w:b w:val="false"/>
                <w:i w:val="false"/>
                <w:sz w:val="22"/>
              </w:rPr>
              <w:t>27.19亿元</w:t>
            </w:r>
          </w:p>
        </w:tc>
        <w:tc>
          <w:tcPr>
            <w:tcW w:type="dxa" w:w="4080"/>
            <w:vAlign w:val="center"/>
          </w:tcPr>
          <w:p>
            <w:r>
              <w:rPr>
                <w:rFonts w:eastAsia="宋体" w:ascii="Times New Roman" w:hAnsi="Times New Roman" w:cs="Times New Roman"/>
                <w:b w:val="false"/>
                <w:i w:val="false"/>
                <w:sz w:val="22"/>
              </w:rPr>
              <w:t>-41.74%</w:t>
            </w:r>
          </w:p>
        </w:tc>
      </w:tr>
      <w:tr>
        <w:tc>
          <w:tcPr>
            <w:tcW w:type="dxa" w:w="4080"/>
            <w:vAlign w:val="center"/>
          </w:tcPr>
          <w:p>
            <w:r>
              <w:rPr>
                <w:rFonts w:eastAsia="宋体" w:ascii="Times New Roman" w:hAnsi="Times New Roman" w:cs="Times New Roman"/>
                <w:b w:val="false"/>
                <w:i w:val="false"/>
                <w:sz w:val="22"/>
              </w:rPr>
              <w:t>经营活动现金流净额</w:t>
            </w:r>
          </w:p>
        </w:tc>
        <w:tc>
          <w:tcPr>
            <w:tcW w:type="dxa" w:w="4080"/>
            <w:vAlign w:val="center"/>
          </w:tcPr>
          <w:p>
            <w:r>
              <w:rPr>
                <w:rFonts w:eastAsia="宋体" w:ascii="Times New Roman" w:hAnsi="Times New Roman" w:cs="Times New Roman"/>
                <w:b w:val="false"/>
                <w:i w:val="false"/>
                <w:sz w:val="22"/>
              </w:rPr>
              <w:t>72.09亿元</w:t>
            </w:r>
          </w:p>
        </w:tc>
        <w:tc>
          <w:tcPr>
            <w:tcW w:type="dxa" w:w="4080"/>
            <w:vAlign w:val="center"/>
          </w:tcPr>
          <w:p>
            <w:r>
              <w:rPr>
                <w:rFonts w:eastAsia="宋体" w:ascii="Times New Roman" w:hAnsi="Times New Roman" w:cs="Times New Roman"/>
                <w:b w:val="false"/>
                <w:i w:val="false"/>
                <w:sz w:val="22"/>
              </w:rPr>
              <w:t>+8.54%</w:t>
            </w:r>
          </w:p>
        </w:tc>
      </w:tr>
      <w:tr>
        <w:tc>
          <w:tcPr>
            <w:tcW w:type="dxa" w:w="4080"/>
            <w:vAlign w:val="center"/>
          </w:tcPr>
          <w:p>
            <w:r>
              <w:rPr>
                <w:rFonts w:eastAsia="宋体" w:ascii="Times New Roman" w:hAnsi="Times New Roman" w:cs="Times New Roman"/>
                <w:b w:val="false"/>
                <w:i w:val="false"/>
                <w:sz w:val="22"/>
              </w:rPr>
              <w:t>基本每股收益</w:t>
            </w:r>
          </w:p>
        </w:tc>
        <w:tc>
          <w:tcPr>
            <w:tcW w:type="dxa" w:w="4080"/>
            <w:vAlign w:val="center"/>
          </w:tcPr>
          <w:p>
            <w:r>
              <w:rPr>
                <w:rFonts w:eastAsia="宋体" w:ascii="Times New Roman" w:hAnsi="Times New Roman" w:cs="Times New Roman"/>
                <w:b w:val="false"/>
                <w:i w:val="false"/>
                <w:sz w:val="22"/>
              </w:rPr>
              <w:t>0.20元</w:t>
            </w:r>
          </w:p>
        </w:tc>
        <w:tc>
          <w:tcPr>
            <w:tcW w:type="dxa" w:w="4080"/>
            <w:vAlign w:val="center"/>
          </w:tcPr>
          <w:p>
            <w:r>
              <w:rPr>
                <w:rFonts w:eastAsia="宋体" w:ascii="Times New Roman" w:hAnsi="Times New Roman" w:cs="Times New Roman"/>
                <w:b w:val="false"/>
                <w:i w:val="false"/>
                <w:sz w:val="22"/>
              </w:rPr>
              <w:t>-42.86%</w:t>
            </w:r>
          </w:p>
        </w:tc>
      </w:tr>
    </w:tbl>
    <w:p>
      <w:pPr>
        <w:spacing w:line="240" w:lineRule="auto" w:before="120" w:after="120"/>
        <w:ind w:firstLine="0"/>
        <w:jc w:val="left"/>
      </w:pPr>
      <w:r>
        <w:rPr>
          <w:rFonts w:eastAsia="宋体" w:ascii="Times New Roman" w:hAnsi="Times New Roman" w:cs="Times New Roman"/>
          <w:b w:val="false"/>
          <w:i w:val="true"/>
          <w:sz w:val="22"/>
        </w:rPr>
        <w:t>表格数据综合自公司2025年年报公告及财经媒体披露</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vertAlign w:val="superscript"/>
        </w:rPr>
        <w:t>[88]</w:t>
      </w:r>
    </w:p>
    <w:p>
      <w:pPr>
        <w:spacing w:line="240" w:lineRule="auto" w:before="120" w:after="120"/>
        <w:ind w:firstLine="0"/>
        <w:jc w:val="left"/>
      </w:pPr>
      <w:r>
        <w:rPr>
          <w:rFonts w:eastAsia="宋体" w:ascii="Times New Roman" w:hAnsi="Times New Roman" w:cs="Times New Roman"/>
          <w:b w:val="false"/>
          <w:i w:val="false"/>
          <w:sz w:val="22"/>
        </w:rPr>
        <w:t>费用端呈现温和上升：销售费用24.24亿元（同比+6.88%），管理费用5.54亿元（同比+10.57%），反映公司在市场拓展与数字化投入上的持续加码</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。资产质量方面，应收账款及合同资产账面价值36.37亿元，较年初增长51.32%，需关注回款效率对营运资金的影响</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。整体而言，公司收入增长韧性凸显，利润波动主要源于非经常性因素，主营业务基本盘保持稳固</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[60]</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4.2 盈利能力与费用控制</w:t>
      </w:r>
    </w:p>
    <w:p>
      <w:pPr>
        <w:spacing w:line="240" w:lineRule="auto" w:before="120" w:after="120"/>
        <w:ind w:firstLine="0"/>
        <w:jc w:val="left"/>
      </w:pPr>
      <w:r>
        <w:rPr>
          <w:rFonts w:eastAsia="宋体" w:ascii="Times New Roman" w:hAnsi="Times New Roman" w:cs="Times New Roman"/>
          <w:b w:val="false"/>
          <w:i w:val="false"/>
          <w:sz w:val="22"/>
        </w:rPr>
        <w:t>分众传媒的盈利能力在行业中表现极为突出，其核心指标如净资产收益率（ROE）、毛利率和净利率长期维持高位，远超行业平均水平。ROE作为衡量资本运用效率的关键指标，在过去十年间展现出强劲弹性，正常经营年份稳定在较高水平；例如，2021年ROE达34.26%，2023-2024年恢复至27%-30%区间，即便在2022年疫情冲击下也保持在15.79%，十年平均ROE显著超过15%的竞争优势门槛</w:t>
      </w:r>
      <w:r>
        <w:rPr>
          <w:rFonts w:eastAsia="宋体" w:ascii="Times New Roman" w:hAnsi="Times New Roman" w:cs="Times New Roman"/>
          <w:b w:val="false"/>
          <w:i w:val="false"/>
          <w:sz w:val="22"/>
          <w:vertAlign w:val="superscript"/>
        </w:rPr>
        <w:t>[95]</w:t>
      </w:r>
      <w:r>
        <w:rPr>
          <w:rFonts w:eastAsia="宋体" w:ascii="Times New Roman" w:hAnsi="Times New Roman" w:cs="Times New Roman"/>
          <w:b w:val="false"/>
          <w:i w:val="false"/>
          <w:sz w:val="22"/>
        </w:rPr>
        <w:t>。这种高ROE源于公司独特的商业模式——通过规模效应将电梯公共空间转化为稀缺广告资源，并以长期协议控制租金成本，确保了资本回报的持续性和稳定性</w:t>
      </w:r>
      <w:r>
        <w:rPr>
          <w:rFonts w:eastAsia="宋体" w:ascii="Times New Roman" w:hAnsi="Times New Roman" w:cs="Times New Roman"/>
          <w:b w:val="false"/>
          <w:i w:val="false"/>
          <w:sz w:val="22"/>
          <w:vertAlign w:val="superscript"/>
        </w:rPr>
        <w:t>[59]</w:t>
      </w:r>
      <w:r>
        <w:rPr>
          <w:rFonts w:eastAsia="宋体" w:ascii="Times New Roman" w:hAnsi="Times New Roman" w:cs="Times New Roman"/>
          <w:b w:val="false"/>
          <w:i w:val="false"/>
          <w:sz w:val="22"/>
        </w:rPr>
        <w:t>。与竞争对手相比，分众传媒的ROE优势明显，后者常因点位成本高企和规模不经济陷入微利或亏损，凸显其结构性壁垒</w:t>
      </w:r>
      <w:r>
        <w:rPr>
          <w:rFonts w:eastAsia="宋体" w:ascii="Times New Roman" w:hAnsi="Times New Roman" w:cs="Times New Roman"/>
          <w:b w:val="false"/>
          <w:i w:val="false"/>
          <w:sz w:val="22"/>
          <w:vertAlign w:val="superscript"/>
        </w:rPr>
        <w:t>[95]</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毛利率长期稳定在60%以上高位，2023-2025年均值约为65%，2025年三季度更攀升至74%的历史新高</w:t>
      </w:r>
      <w:r>
        <w:rPr>
          <w:rFonts w:eastAsia="宋体" w:ascii="Times New Roman" w:hAnsi="Times New Roman" w:cs="Times New Roman"/>
          <w:b w:val="false"/>
          <w:i w:val="false"/>
          <w:sz w:val="22"/>
          <w:vertAlign w:val="superscript"/>
        </w:rPr>
        <w:t>[96]</w:t>
      </w:r>
      <w:r>
        <w:rPr>
          <w:rFonts w:eastAsia="宋体" w:ascii="Times New Roman" w:hAnsi="Times New Roman" w:cs="Times New Roman"/>
          <w:b w:val="false"/>
          <w:i w:val="false"/>
          <w:sz w:val="22"/>
          <w:vertAlign w:val="superscript"/>
        </w:rPr>
        <w:t>[97]</w:t>
      </w:r>
      <w:r>
        <w:rPr>
          <w:rFonts w:eastAsia="宋体" w:ascii="Times New Roman" w:hAnsi="Times New Roman" w:cs="Times New Roman"/>
          <w:b w:val="false"/>
          <w:i w:val="false"/>
          <w:sz w:val="22"/>
        </w:rPr>
        <w:t>。高毛利率主要得益于媒体点位的优化和租金成本控制，例如公司持续淘汰低效框架点位，并通过数字化升级提升运营效率</w:t>
      </w:r>
      <w:r>
        <w:rPr>
          <w:rFonts w:eastAsia="宋体" w:ascii="Times New Roman" w:hAnsi="Times New Roman" w:cs="Times New Roman"/>
          <w:b w:val="false"/>
          <w:i w:val="false"/>
          <w:sz w:val="22"/>
          <w:vertAlign w:val="superscript"/>
        </w:rPr>
        <w:t>[97]</w:t>
      </w:r>
      <w:r>
        <w:rPr>
          <w:rFonts w:eastAsia="宋体" w:ascii="Times New Roman" w:hAnsi="Times New Roman" w:cs="Times New Roman"/>
          <w:b w:val="false"/>
          <w:i w:val="false"/>
          <w:sz w:val="22"/>
        </w:rPr>
        <w:t xml:space="preserve">。净利率同样表现优异，维持在37%-44%区间，2024年为41.36%，2025年中报进一步升至43.36% </w:t>
      </w:r>
      <w:r>
        <w:rPr>
          <w:rFonts w:eastAsia="宋体" w:ascii="Times New Roman" w:hAnsi="Times New Roman" w:cs="Times New Roman"/>
          <w:b w:val="false"/>
          <w:i w:val="false"/>
          <w:sz w:val="22"/>
          <w:vertAlign w:val="superscript"/>
        </w:rPr>
        <w:t>[59]</w:t>
      </w:r>
      <w:r>
        <w:rPr>
          <w:rFonts w:eastAsia="宋体" w:ascii="Times New Roman" w:hAnsi="Times New Roman" w:cs="Times New Roman"/>
          <w:b w:val="false"/>
          <w:i w:val="false"/>
          <w:sz w:val="22"/>
          <w:vertAlign w:val="superscript"/>
        </w:rPr>
        <w:t>[98]</w:t>
      </w:r>
      <w:r>
        <w:rPr>
          <w:rFonts w:eastAsia="宋体" w:ascii="Times New Roman" w:hAnsi="Times New Roman" w:cs="Times New Roman"/>
          <w:b w:val="false"/>
          <w:i w:val="false"/>
          <w:sz w:val="22"/>
        </w:rPr>
        <w:t>。这反映出公司在高毛利基础上实现了有效的费用管理，利润转化效率极高；具体而言，净利率的提升源于营业成本同比下降6.83%，以及运营杠杆的正向作用</w:t>
      </w:r>
      <w:r>
        <w:rPr>
          <w:rFonts w:eastAsia="宋体" w:ascii="Times New Roman" w:hAnsi="Times New Roman" w:cs="Times New Roman"/>
          <w:b w:val="false"/>
          <w:i w:val="false"/>
          <w:sz w:val="22"/>
          <w:vertAlign w:val="superscript"/>
        </w:rPr>
        <w:t>[99]</w:t>
      </w:r>
      <w:r>
        <w:rPr>
          <w:rFonts w:eastAsia="宋体" w:ascii="Times New Roman" w:hAnsi="Times New Roman" w:cs="Times New Roman"/>
          <w:b w:val="false"/>
          <w:i w:val="false"/>
          <w:sz w:val="22"/>
        </w:rPr>
        <w:t>。季度性波动虽存在（如2025Q1净利率39.58%，Q3升至44.0%），但这主要受广告行业季节性影响（Q4为旺季，Q1较淡），并非经营恶化迹象</w:t>
      </w:r>
      <w:r>
        <w:rPr>
          <w:rFonts w:eastAsia="宋体" w:ascii="Times New Roman" w:hAnsi="Times New Roman" w:cs="Times New Roman"/>
          <w:b w:val="false"/>
          <w:i w:val="false"/>
          <w:sz w:val="22"/>
          <w:vertAlign w:val="superscript"/>
        </w:rPr>
        <w:t>[96]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在费用控制方面，公司展现出卓越的运营效率。期间费用率（包括销售、管理和财务费用）稳定在20%-25%，2024年为22.84%，同比微增0.70个百分点，主要由管理费用率上升0.37个百分点驱动</w:t>
      </w:r>
      <w:r>
        <w:rPr>
          <w:rFonts w:eastAsia="宋体" w:ascii="Times New Roman" w:hAnsi="Times New Roman" w:cs="Times New Roman"/>
          <w:b w:val="false"/>
          <w:i w:val="false"/>
          <w:sz w:val="22"/>
          <w:vertAlign w:val="superscript"/>
        </w:rPr>
        <w:t>[100]</w:t>
      </w:r>
      <w:r>
        <w:rPr>
          <w:rFonts w:eastAsia="宋体" w:ascii="Times New Roman" w:hAnsi="Times New Roman" w:cs="Times New Roman"/>
          <w:b w:val="false"/>
          <w:i w:val="false"/>
          <w:sz w:val="22"/>
        </w:rPr>
        <w:t>。销售费用率和管理费用率合计占收入比例基本持平，2025年中报约为23.35%，同比仅增1个百分点，显示公司成熟稳健的费用管控能力</w:t>
      </w:r>
      <w:r>
        <w:rPr>
          <w:rFonts w:eastAsia="宋体" w:ascii="Times New Roman" w:hAnsi="Times New Roman" w:cs="Times New Roman"/>
          <w:b w:val="false"/>
          <w:i w:val="false"/>
          <w:sz w:val="22"/>
          <w:vertAlign w:val="superscript"/>
        </w:rPr>
        <w:t>[101]</w:t>
      </w:r>
      <w:r>
        <w:rPr>
          <w:rFonts w:eastAsia="宋体" w:ascii="Times New Roman" w:hAnsi="Times New Roman" w:cs="Times New Roman"/>
          <w:b w:val="false"/>
          <w:i w:val="false"/>
          <w:sz w:val="22"/>
          <w:vertAlign w:val="superscript"/>
        </w:rPr>
        <w:t>[102]</w:t>
      </w:r>
      <w:r>
        <w:rPr>
          <w:rFonts w:eastAsia="宋体" w:ascii="Times New Roman" w:hAnsi="Times New Roman" w:cs="Times New Roman"/>
          <w:b w:val="false"/>
          <w:i w:val="false"/>
          <w:sz w:val="22"/>
        </w:rPr>
        <w:t>。具体而言，销售费用率2024年为18.49%，管理费用率4.09%，均处于合理区间；财务费用率持续为负（2024年为-0.15%），得益于充裕的现金储备带来的利息收入</w:t>
      </w:r>
      <w:r>
        <w:rPr>
          <w:rFonts w:eastAsia="宋体" w:ascii="Times New Roman" w:hAnsi="Times New Roman" w:cs="Times New Roman"/>
          <w:b w:val="false"/>
          <w:i w:val="false"/>
          <w:sz w:val="22"/>
          <w:vertAlign w:val="superscript"/>
        </w:rPr>
        <w:t>[103]</w:t>
      </w:r>
      <w:r>
        <w:rPr>
          <w:rFonts w:eastAsia="宋体" w:ascii="Times New Roman" w:hAnsi="Times New Roman" w:cs="Times New Roman"/>
          <w:b w:val="false"/>
          <w:i w:val="false"/>
          <w:sz w:val="22"/>
        </w:rPr>
        <w:t>。研发费用率则维持在极低水平（约0.45%），主要用于系统维护升级，2025年同比略降，反映业务模式的轻资产特性</w:t>
      </w:r>
      <w:r>
        <w:rPr>
          <w:rFonts w:eastAsia="宋体" w:ascii="Times New Roman" w:hAnsi="Times New Roman" w:cs="Times New Roman"/>
          <w:b w:val="false"/>
          <w:i w:val="false"/>
          <w:sz w:val="22"/>
          <w:vertAlign w:val="superscript"/>
        </w:rPr>
        <w:t>[101]</w:t>
      </w:r>
      <w:r>
        <w:rPr>
          <w:rFonts w:eastAsia="宋体" w:ascii="Times New Roman" w:hAnsi="Times New Roman" w:cs="Times New Roman"/>
          <w:b w:val="false"/>
          <w:i w:val="false"/>
          <w:sz w:val="22"/>
          <w:vertAlign w:val="superscript"/>
        </w:rPr>
        <w:t>[102]</w:t>
      </w:r>
      <w:r>
        <w:rPr>
          <w:rFonts w:eastAsia="宋体" w:ascii="Times New Roman" w:hAnsi="Times New Roman" w:cs="Times New Roman"/>
          <w:b w:val="false"/>
          <w:i w:val="false"/>
          <w:sz w:val="22"/>
        </w:rPr>
        <w:t>。以下表格总结了关键财务指标近三年趋势：</w:t>
      </w:r>
    </w:p>
    <w:tbl>
      <w:tblPr>
        <w:tblW w:w="0" w:type="auto"/>
        <w:tblBorders>
          <w:top w:val="single"/>
          <w:left w:val="single"/>
          <w:bottom w:val="single"/>
          <w:right w:val="single"/>
          <w:insideH w:val="single"/>
          <w:insideV w:val="single"/>
        </w:tblBorders>
      </w:tblPr>
      <w:tblGrid>
        <w:gridCol w:w="9000"/>
      </w:tblGrid>
      <w:tr>
        <w:tc>
          <w:tcPr>
            <w:tcW w:type="dxa" w:w="2448"/>
            <w:vAlign w:val="center"/>
          </w:tcPr>
          <w:p>
            <w:r>
              <w:rPr>
                <w:rFonts w:eastAsia="宋体" w:ascii="Times New Roman" w:hAnsi="Times New Roman" w:cs="Times New Roman"/>
                <w:b w:val="false"/>
                <w:i w:val="false"/>
                <w:sz w:val="22"/>
              </w:rPr>
              <w:t>指标</w:t>
            </w:r>
          </w:p>
        </w:tc>
        <w:tc>
          <w:tcPr>
            <w:tcW w:type="dxa" w:w="2448"/>
            <w:vAlign w:val="center"/>
          </w:tcPr>
          <w:p>
            <w:r>
              <w:rPr>
                <w:rFonts w:eastAsia="宋体" w:ascii="Times New Roman" w:hAnsi="Times New Roman" w:cs="Times New Roman"/>
                <w:b w:val="false"/>
                <w:i w:val="false"/>
                <w:sz w:val="22"/>
              </w:rPr>
              <w:t>2023年</w:t>
            </w:r>
          </w:p>
        </w:tc>
        <w:tc>
          <w:tcPr>
            <w:tcW w:type="dxa" w:w="2448"/>
            <w:vAlign w:val="center"/>
          </w:tcPr>
          <w:p>
            <w:r>
              <w:rPr>
                <w:rFonts w:eastAsia="宋体" w:ascii="Times New Roman" w:hAnsi="Times New Roman" w:cs="Times New Roman"/>
                <w:b w:val="false"/>
                <w:i w:val="false"/>
                <w:sz w:val="22"/>
              </w:rPr>
              <w:t>2024年</w:t>
            </w:r>
          </w:p>
        </w:tc>
        <w:tc>
          <w:tcPr>
            <w:tcW w:type="dxa" w:w="2448"/>
            <w:vAlign w:val="center"/>
          </w:tcPr>
          <w:p>
            <w:r>
              <w:rPr>
                <w:rFonts w:eastAsia="宋体" w:ascii="Times New Roman" w:hAnsi="Times New Roman" w:cs="Times New Roman"/>
                <w:b w:val="false"/>
                <w:i w:val="false"/>
                <w:sz w:val="22"/>
              </w:rPr>
              <w:t>2025年（中报）</w:t>
            </w:r>
          </w:p>
        </w:tc>
        <w:tc>
          <w:tcPr>
            <w:tcW w:type="dxa" w:w="2448"/>
            <w:vAlign w:val="center"/>
          </w:tcPr>
          <w:p>
            <w:r>
              <w:rPr>
                <w:rFonts w:eastAsia="宋体" w:ascii="Times New Roman" w:hAnsi="Times New Roman" w:cs="Times New Roman"/>
                <w:b w:val="false"/>
                <w:i w:val="false"/>
                <w:sz w:val="22"/>
              </w:rPr>
              <w:t>同比变动（2025中报 vs 2024）</w:t>
            </w:r>
          </w:p>
        </w:tc>
      </w:tr>
      <w:tr>
        <w:tc>
          <w:tcPr>
            <w:tcW w:type="dxa" w:w="2448"/>
            <w:vAlign w:val="center"/>
          </w:tcPr>
          <w:p>
            <w:r>
              <w:rPr>
                <w:rFonts w:eastAsia="宋体" w:ascii="Times New Roman" w:hAnsi="Times New Roman" w:cs="Times New Roman"/>
                <w:b w:val="false"/>
                <w:i w:val="false"/>
                <w:sz w:val="22"/>
              </w:rPr>
              <w:t>毛利率（%）</w:t>
            </w:r>
          </w:p>
        </w:tc>
        <w:tc>
          <w:tcPr>
            <w:tcW w:type="dxa" w:w="2448"/>
            <w:vAlign w:val="center"/>
          </w:tcPr>
          <w:p>
            <w:r>
              <w:rPr>
                <w:rFonts w:eastAsia="宋体" w:ascii="Times New Roman" w:hAnsi="Times New Roman" w:cs="Times New Roman"/>
                <w:b w:val="false"/>
                <w:i w:val="false"/>
                <w:sz w:val="22"/>
              </w:rPr>
              <w:t>65.48</w:t>
            </w:r>
          </w:p>
        </w:tc>
        <w:tc>
          <w:tcPr>
            <w:tcW w:type="dxa" w:w="2448"/>
            <w:vAlign w:val="center"/>
          </w:tcPr>
          <w:p>
            <w:r>
              <w:rPr>
                <w:rFonts w:eastAsia="宋体" w:ascii="Times New Roman" w:hAnsi="Times New Roman" w:cs="Times New Roman"/>
                <w:b w:val="false"/>
                <w:i w:val="false"/>
                <w:sz w:val="22"/>
              </w:rPr>
              <w:t>66.26</w:t>
            </w:r>
          </w:p>
        </w:tc>
        <w:tc>
          <w:tcPr>
            <w:tcW w:type="dxa" w:w="2448"/>
            <w:vAlign w:val="center"/>
          </w:tcPr>
          <w:p>
            <w:r>
              <w:rPr>
                <w:rFonts w:eastAsia="宋体" w:ascii="Times New Roman" w:hAnsi="Times New Roman" w:cs="Times New Roman"/>
                <w:b w:val="false"/>
                <w:i w:val="false"/>
                <w:sz w:val="22"/>
              </w:rPr>
              <w:t>68.29</w:t>
            </w:r>
          </w:p>
        </w:tc>
        <w:tc>
          <w:tcPr>
            <w:tcW w:type="dxa" w:w="2448"/>
            <w:vAlign w:val="center"/>
          </w:tcPr>
          <w:p>
            <w:r>
              <w:rPr>
                <w:rFonts w:eastAsia="宋体" w:ascii="Times New Roman" w:hAnsi="Times New Roman" w:cs="Times New Roman"/>
                <w:b w:val="false"/>
                <w:i w:val="false"/>
                <w:sz w:val="22"/>
              </w:rPr>
              <w:t>+4.84个百分点</w:t>
            </w:r>
          </w:p>
        </w:tc>
      </w:tr>
      <w:tr>
        <w:tc>
          <w:tcPr>
            <w:tcW w:type="dxa" w:w="2448"/>
            <w:vAlign w:val="center"/>
          </w:tcPr>
          <w:p>
            <w:r>
              <w:rPr>
                <w:rFonts w:eastAsia="宋体" w:ascii="Times New Roman" w:hAnsi="Times New Roman" w:cs="Times New Roman"/>
                <w:b w:val="false"/>
                <w:i w:val="false"/>
                <w:sz w:val="22"/>
              </w:rPr>
              <w:t>净利率（%）</w:t>
            </w:r>
          </w:p>
        </w:tc>
        <w:tc>
          <w:tcPr>
            <w:tcW w:type="dxa" w:w="2448"/>
            <w:vAlign w:val="center"/>
          </w:tcPr>
          <w:p>
            <w:r>
              <w:rPr>
                <w:rFonts w:eastAsia="宋体" w:ascii="Times New Roman" w:hAnsi="Times New Roman" w:cs="Times New Roman"/>
                <w:b w:val="false"/>
                <w:i w:val="false"/>
                <w:sz w:val="22"/>
              </w:rPr>
              <w:t>40.32</w:t>
            </w:r>
          </w:p>
        </w:tc>
        <w:tc>
          <w:tcPr>
            <w:tcW w:type="dxa" w:w="2448"/>
            <w:vAlign w:val="center"/>
          </w:tcPr>
          <w:p>
            <w:r>
              <w:rPr>
                <w:rFonts w:eastAsia="宋体" w:ascii="Times New Roman" w:hAnsi="Times New Roman" w:cs="Times New Roman"/>
                <w:b w:val="false"/>
                <w:i w:val="false"/>
                <w:sz w:val="22"/>
              </w:rPr>
              <w:t>41.36</w:t>
            </w:r>
          </w:p>
        </w:tc>
        <w:tc>
          <w:tcPr>
            <w:tcW w:type="dxa" w:w="2448"/>
            <w:vAlign w:val="center"/>
          </w:tcPr>
          <w:p>
            <w:r>
              <w:rPr>
                <w:rFonts w:eastAsia="宋体" w:ascii="Times New Roman" w:hAnsi="Times New Roman" w:cs="Times New Roman"/>
                <w:b w:val="false"/>
                <w:i w:val="false"/>
                <w:sz w:val="22"/>
              </w:rPr>
              <w:t>43.36</w:t>
            </w:r>
          </w:p>
        </w:tc>
        <w:tc>
          <w:tcPr>
            <w:tcW w:type="dxa" w:w="2448"/>
            <w:vAlign w:val="center"/>
          </w:tcPr>
          <w:p>
            <w:r>
              <w:rPr>
                <w:rFonts w:eastAsia="宋体" w:ascii="Times New Roman" w:hAnsi="Times New Roman" w:cs="Times New Roman"/>
                <w:b w:val="false"/>
                <w:i w:val="false"/>
                <w:sz w:val="22"/>
              </w:rPr>
              <w:t>+5.49个百分点</w:t>
            </w:r>
          </w:p>
        </w:tc>
      </w:tr>
      <w:tr>
        <w:tc>
          <w:tcPr>
            <w:tcW w:type="dxa" w:w="2448"/>
            <w:vAlign w:val="center"/>
          </w:tcPr>
          <w:p>
            <w:r>
              <w:rPr>
                <w:rFonts w:eastAsia="宋体" w:ascii="Times New Roman" w:hAnsi="Times New Roman" w:cs="Times New Roman"/>
                <w:b w:val="false"/>
                <w:i w:val="false"/>
                <w:sz w:val="22"/>
              </w:rPr>
              <w:t>ROE（%）</w:t>
            </w:r>
          </w:p>
        </w:tc>
        <w:tc>
          <w:tcPr>
            <w:tcW w:type="dxa" w:w="2448"/>
            <w:vAlign w:val="center"/>
          </w:tcPr>
          <w:p>
            <w:r>
              <w:rPr>
                <w:rFonts w:eastAsia="宋体" w:ascii="Times New Roman" w:hAnsi="Times New Roman" w:cs="Times New Roman"/>
                <w:b w:val="false"/>
                <w:i w:val="false"/>
                <w:sz w:val="22"/>
              </w:rPr>
              <w:t>27.87</w:t>
            </w:r>
          </w:p>
        </w:tc>
        <w:tc>
          <w:tcPr>
            <w:tcW w:type="dxa" w:w="2448"/>
            <w:vAlign w:val="center"/>
          </w:tcPr>
          <w:p>
            <w:r>
              <w:rPr>
                <w:rFonts w:eastAsia="宋体" w:ascii="Times New Roman" w:hAnsi="Times New Roman" w:cs="Times New Roman"/>
                <w:b w:val="false"/>
                <w:i w:val="false"/>
                <w:sz w:val="22"/>
              </w:rPr>
              <w:t>29.7</w:t>
            </w:r>
          </w:p>
        </w:tc>
        <w:tc>
          <w:tcPr>
            <w:tcW w:type="dxa" w:w="2448"/>
            <w:vAlign w:val="center"/>
          </w:tcPr>
          <w:p>
            <w:r>
              <w:rPr>
                <w:rFonts w:eastAsia="宋体" w:ascii="Times New Roman" w:hAnsi="Times New Roman" w:cs="Times New Roman"/>
                <w:b w:val="false"/>
                <w:i w:val="false"/>
                <w:sz w:val="22"/>
              </w:rPr>
              <w:t>-</w:t>
            </w:r>
          </w:p>
        </w:tc>
        <w:tc>
          <w:tcPr>
            <w:tcW w:type="dxa" w:w="2448"/>
            <w:vAlign w:val="center"/>
          </w:tcPr>
          <w:p>
            <w:r>
              <w:rPr>
                <w:rFonts w:eastAsia="宋体" w:ascii="Times New Roman" w:hAnsi="Times New Roman" w:cs="Times New Roman"/>
                <w:b w:val="false"/>
                <w:i w:val="false"/>
                <w:sz w:val="22"/>
              </w:rPr>
              <w:t>-</w:t>
            </w:r>
          </w:p>
        </w:tc>
      </w:tr>
      <w:tr>
        <w:tc>
          <w:tcPr>
            <w:tcW w:type="dxa" w:w="2448"/>
            <w:vAlign w:val="center"/>
          </w:tcPr>
          <w:p>
            <w:r>
              <w:rPr>
                <w:rFonts w:eastAsia="宋体" w:ascii="Times New Roman" w:hAnsi="Times New Roman" w:cs="Times New Roman"/>
                <w:b w:val="false"/>
                <w:i w:val="false"/>
                <w:sz w:val="22"/>
              </w:rPr>
              <w:t>期间费用率（%）</w:t>
            </w:r>
          </w:p>
        </w:tc>
        <w:tc>
          <w:tcPr>
            <w:tcW w:type="dxa" w:w="2448"/>
            <w:vAlign w:val="center"/>
          </w:tcPr>
          <w:p>
            <w:r>
              <w:rPr>
                <w:rFonts w:eastAsia="宋体" w:ascii="Times New Roman" w:hAnsi="Times New Roman" w:cs="Times New Roman"/>
                <w:b w:val="false"/>
                <w:i w:val="false"/>
                <w:sz w:val="22"/>
              </w:rPr>
              <w:t>22.14</w:t>
            </w:r>
          </w:p>
        </w:tc>
        <w:tc>
          <w:tcPr>
            <w:tcW w:type="dxa" w:w="2448"/>
            <w:vAlign w:val="center"/>
          </w:tcPr>
          <w:p>
            <w:r>
              <w:rPr>
                <w:rFonts w:eastAsia="宋体" w:ascii="Times New Roman" w:hAnsi="Times New Roman" w:cs="Times New Roman"/>
                <w:b w:val="false"/>
                <w:i w:val="false"/>
                <w:sz w:val="22"/>
              </w:rPr>
              <w:t>22.84</w:t>
            </w:r>
          </w:p>
        </w:tc>
        <w:tc>
          <w:tcPr>
            <w:tcW w:type="dxa" w:w="2448"/>
            <w:vAlign w:val="center"/>
          </w:tcPr>
          <w:p>
            <w:r>
              <w:rPr>
                <w:rFonts w:eastAsia="宋体" w:ascii="Times New Roman" w:hAnsi="Times New Roman" w:cs="Times New Roman"/>
                <w:b w:val="false"/>
                <w:i w:val="false"/>
                <w:sz w:val="22"/>
              </w:rPr>
              <w:t>23.11</w:t>
            </w:r>
          </w:p>
        </w:tc>
        <w:tc>
          <w:tcPr>
            <w:tcW w:type="dxa" w:w="2448"/>
            <w:vAlign w:val="center"/>
          </w:tcPr>
          <w:p>
            <w:r>
              <w:rPr>
                <w:rFonts w:eastAsia="宋体" w:ascii="Times New Roman" w:hAnsi="Times New Roman" w:cs="Times New Roman"/>
                <w:b w:val="false"/>
                <w:i w:val="false"/>
                <w:sz w:val="22"/>
              </w:rPr>
              <w:t>+0.27个百分点</w:t>
            </w:r>
          </w:p>
        </w:tc>
      </w:tr>
      <w:tr>
        <w:tc>
          <w:tcPr>
            <w:tcW w:type="dxa" w:w="2448"/>
            <w:vAlign w:val="center"/>
          </w:tcPr>
          <w:p>
            <w:r>
              <w:rPr>
                <w:rFonts w:eastAsia="宋体" w:ascii="Times New Roman" w:hAnsi="Times New Roman" w:cs="Times New Roman"/>
                <w:b w:val="false"/>
                <w:i w:val="false"/>
                <w:sz w:val="22"/>
              </w:rPr>
              <w:t>销售费用率（%）</w:t>
            </w:r>
          </w:p>
        </w:tc>
        <w:tc>
          <w:tcPr>
            <w:tcW w:type="dxa" w:w="2448"/>
            <w:vAlign w:val="center"/>
          </w:tcPr>
          <w:p>
            <w:r>
              <w:rPr>
                <w:rFonts w:eastAsia="宋体" w:ascii="Times New Roman" w:hAnsi="Times New Roman" w:cs="Times New Roman"/>
                <w:b w:val="false"/>
                <w:i w:val="false"/>
                <w:sz w:val="22"/>
              </w:rPr>
              <w:t>18.12</w:t>
            </w:r>
          </w:p>
        </w:tc>
        <w:tc>
          <w:tcPr>
            <w:tcW w:type="dxa" w:w="2448"/>
            <w:vAlign w:val="center"/>
          </w:tcPr>
          <w:p>
            <w:r>
              <w:rPr>
                <w:rFonts w:eastAsia="宋体" w:ascii="Times New Roman" w:hAnsi="Times New Roman" w:cs="Times New Roman"/>
                <w:b w:val="false"/>
                <w:i w:val="false"/>
                <w:sz w:val="22"/>
              </w:rPr>
              <w:t>18.49</w:t>
            </w:r>
          </w:p>
        </w:tc>
        <w:tc>
          <w:tcPr>
            <w:tcW w:type="dxa" w:w="2448"/>
            <w:vAlign w:val="center"/>
          </w:tcPr>
          <w:p>
            <w:r>
              <w:rPr>
                <w:rFonts w:eastAsia="宋体" w:ascii="Times New Roman" w:hAnsi="Times New Roman" w:cs="Times New Roman"/>
                <w:b w:val="false"/>
                <w:i w:val="false"/>
                <w:sz w:val="22"/>
              </w:rPr>
              <w:t>19.00</w:t>
            </w:r>
          </w:p>
        </w:tc>
        <w:tc>
          <w:tcPr>
            <w:tcW w:type="dxa" w:w="2448"/>
            <w:vAlign w:val="center"/>
          </w:tcPr>
          <w:p>
            <w:r>
              <w:rPr>
                <w:rFonts w:eastAsia="宋体" w:ascii="Times New Roman" w:hAnsi="Times New Roman" w:cs="Times New Roman"/>
                <w:b w:val="false"/>
                <w:i w:val="false"/>
                <w:sz w:val="22"/>
              </w:rPr>
              <w:t>+0.51个百分点</w:t>
            </w:r>
          </w:p>
        </w:tc>
      </w:tr>
      <w:tr>
        <w:tc>
          <w:tcPr>
            <w:tcW w:type="dxa" w:w="2448"/>
            <w:vAlign w:val="center"/>
          </w:tcPr>
          <w:p>
            <w:r>
              <w:rPr>
                <w:rFonts w:eastAsia="宋体" w:ascii="Times New Roman" w:hAnsi="Times New Roman" w:cs="Times New Roman"/>
                <w:b w:val="false"/>
                <w:i w:val="false"/>
                <w:sz w:val="22"/>
              </w:rPr>
              <w:t>管理费用率（%）</w:t>
            </w:r>
          </w:p>
        </w:tc>
        <w:tc>
          <w:tcPr>
            <w:tcW w:type="dxa" w:w="2448"/>
            <w:vAlign w:val="center"/>
          </w:tcPr>
          <w:p>
            <w:r>
              <w:rPr>
                <w:rFonts w:eastAsia="宋体" w:ascii="Times New Roman" w:hAnsi="Times New Roman" w:cs="Times New Roman"/>
                <w:b w:val="false"/>
                <w:i w:val="false"/>
                <w:sz w:val="22"/>
              </w:rPr>
              <w:t>3.72</w:t>
            </w:r>
          </w:p>
        </w:tc>
        <w:tc>
          <w:tcPr>
            <w:tcW w:type="dxa" w:w="2448"/>
            <w:vAlign w:val="center"/>
          </w:tcPr>
          <w:p>
            <w:r>
              <w:rPr>
                <w:rFonts w:eastAsia="宋体" w:ascii="Times New Roman" w:hAnsi="Times New Roman" w:cs="Times New Roman"/>
                <w:b w:val="false"/>
                <w:i w:val="false"/>
                <w:sz w:val="22"/>
              </w:rPr>
              <w:t>4.09</w:t>
            </w:r>
          </w:p>
        </w:tc>
        <w:tc>
          <w:tcPr>
            <w:tcW w:type="dxa" w:w="2448"/>
            <w:vAlign w:val="center"/>
          </w:tcPr>
          <w:p>
            <w:r>
              <w:rPr>
                <w:rFonts w:eastAsia="宋体" w:ascii="Times New Roman" w:hAnsi="Times New Roman" w:cs="Times New Roman"/>
                <w:b w:val="false"/>
                <w:i w:val="false"/>
                <w:sz w:val="22"/>
              </w:rPr>
              <w:t>4.35</w:t>
            </w:r>
          </w:p>
        </w:tc>
        <w:tc>
          <w:tcPr>
            <w:tcW w:type="dxa" w:w="2448"/>
            <w:vAlign w:val="center"/>
          </w:tcPr>
          <w:p>
            <w:r>
              <w:rPr>
                <w:rFonts w:eastAsia="宋体" w:ascii="Times New Roman" w:hAnsi="Times New Roman" w:cs="Times New Roman"/>
                <w:b w:val="false"/>
                <w:i w:val="false"/>
                <w:sz w:val="22"/>
              </w:rPr>
              <w:t>+0.26个百分点</w:t>
            </w:r>
          </w:p>
        </w:tc>
      </w:tr>
    </w:tbl>
    <w:p>
      <w:pPr>
        <w:spacing w:line="240" w:lineRule="auto" w:before="120" w:after="120"/>
        <w:ind w:firstLine="0"/>
        <w:jc w:val="left"/>
      </w:pPr>
      <w:r>
        <w:rPr>
          <w:rFonts w:eastAsia="宋体" w:ascii="Times New Roman" w:hAnsi="Times New Roman" w:cs="Times New Roman"/>
          <w:b w:val="false"/>
          <w:i w:val="false"/>
          <w:sz w:val="22"/>
        </w:rPr>
        <w:t>表格数据综合自公司财报及行业分析报告，涵盖2023-2025年关键期间</w:t>
      </w:r>
      <w:r>
        <w:rPr>
          <w:rFonts w:eastAsia="宋体" w:ascii="Times New Roman" w:hAnsi="Times New Roman" w:cs="Times New Roman"/>
          <w:b w:val="false"/>
          <w:i w:val="false"/>
          <w:sz w:val="22"/>
          <w:vertAlign w:val="superscript"/>
        </w:rPr>
        <w:t>[98]</w:t>
      </w:r>
      <w:r>
        <w:rPr>
          <w:rFonts w:eastAsia="宋体" w:ascii="Times New Roman" w:hAnsi="Times New Roman" w:cs="Times New Roman"/>
          <w:b w:val="false"/>
          <w:i w:val="false"/>
          <w:sz w:val="22"/>
          <w:vertAlign w:val="superscript"/>
        </w:rPr>
        <w:t>[101]</w:t>
      </w:r>
      <w:r>
        <w:rPr>
          <w:rFonts w:eastAsia="宋体" w:ascii="Times New Roman" w:hAnsi="Times New Roman" w:cs="Times New Roman"/>
          <w:b w:val="false"/>
          <w:i w:val="false"/>
          <w:sz w:val="22"/>
          <w:vertAlign w:val="superscript"/>
        </w:rPr>
        <w:t>[104]</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现金流状况进一步佐证了盈利质量。2025年三季度经营性现金流净额达53.1亿元，同比增长14.26%，远超净利润增速，凸显高现金转化效率</w:t>
      </w:r>
      <w:r>
        <w:rPr>
          <w:rFonts w:eastAsia="宋体" w:ascii="Times New Roman" w:hAnsi="Times New Roman" w:cs="Times New Roman"/>
          <w:b w:val="false"/>
          <w:i w:val="false"/>
          <w:sz w:val="22"/>
          <w:vertAlign w:val="superscript"/>
        </w:rPr>
        <w:t>[97]</w:t>
      </w:r>
      <w:r>
        <w:rPr>
          <w:rFonts w:eastAsia="宋体" w:ascii="Times New Roman" w:hAnsi="Times New Roman" w:cs="Times New Roman"/>
          <w:b w:val="false"/>
          <w:i w:val="false"/>
          <w:sz w:val="22"/>
        </w:rPr>
        <w:t>。2025年中报经营性现金流净额34.02亿元，同比增15.56%，反映广告回款能力和运营效率提升</w:t>
      </w:r>
      <w:r>
        <w:rPr>
          <w:rFonts w:eastAsia="宋体" w:ascii="Times New Roman" w:hAnsi="Times New Roman" w:cs="Times New Roman"/>
          <w:b w:val="false"/>
          <w:i w:val="false"/>
          <w:sz w:val="22"/>
          <w:vertAlign w:val="superscript"/>
        </w:rPr>
        <w:t>[99]</w:t>
      </w:r>
      <w:r>
        <w:rPr>
          <w:rFonts w:eastAsia="宋体" w:ascii="Times New Roman" w:hAnsi="Times New Roman" w:cs="Times New Roman"/>
          <w:b w:val="false"/>
          <w:i w:val="false"/>
          <w:sz w:val="22"/>
        </w:rPr>
        <w:t>。偿债能力同样优异，资产负债率持续低于30%（2024年末24.03%，2025Q3为29.26%），流动比率常年高于2.0，速动比率接近2.09，表明短期财务风险极低</w:t>
      </w:r>
      <w:r>
        <w:rPr>
          <w:rFonts w:eastAsia="宋体" w:ascii="Times New Roman" w:hAnsi="Times New Roman" w:cs="Times New Roman"/>
          <w:b w:val="false"/>
          <w:i w:val="false"/>
          <w:sz w:val="22"/>
          <w:vertAlign w:val="superscript"/>
        </w:rPr>
        <w:t>[96]</w:t>
      </w:r>
      <w:r>
        <w:rPr>
          <w:rFonts w:eastAsia="宋体" w:ascii="Times New Roman" w:hAnsi="Times New Roman" w:cs="Times New Roman"/>
          <w:b w:val="false"/>
          <w:i w:val="false"/>
          <w:sz w:val="22"/>
        </w:rPr>
        <w:t>。这种低杠杆结构支撑了盈利稳定性，避免了利息支出对利润的侵蚀</w:t>
      </w:r>
      <w:r>
        <w:rPr>
          <w:rFonts w:eastAsia="宋体" w:ascii="Times New Roman" w:hAnsi="Times New Roman" w:cs="Times New Roman"/>
          <w:b w:val="false"/>
          <w:i w:val="false"/>
          <w:sz w:val="22"/>
          <w:vertAlign w:val="superscript"/>
        </w:rPr>
        <w:t>[103]</w:t>
      </w:r>
      <w:r>
        <w:rPr>
          <w:rFonts w:eastAsia="宋体" w:ascii="Times New Roman" w:hAnsi="Times New Roman" w:cs="Times New Roman"/>
          <w:b w:val="false"/>
          <w:i w:val="false"/>
          <w:sz w:val="22"/>
        </w:rPr>
        <w:t>。与行业对比，分众传媒的ROE和利润率显著高于广告行业平均，主要竞争对手因成本结构劣势难以匹配其盈利水平</w:t>
      </w:r>
      <w:r>
        <w:rPr>
          <w:rFonts w:eastAsia="宋体" w:ascii="Times New Roman" w:hAnsi="Times New Roman" w:cs="Times New Roman"/>
          <w:b w:val="false"/>
          <w:i w:val="false"/>
          <w:sz w:val="22"/>
          <w:vertAlign w:val="superscript"/>
        </w:rPr>
        <w:t>[95]</w:t>
      </w:r>
      <w:r>
        <w:rPr>
          <w:rFonts w:eastAsia="宋体" w:ascii="Times New Roman" w:hAnsi="Times New Roman" w:cs="Times New Roman"/>
          <w:b w:val="false"/>
          <w:i w:val="false"/>
          <w:sz w:val="22"/>
        </w:rPr>
        <w:t>。高盛等机构维持其21倍PE估值溢价，认为这源于商业模式垄断性而非短期增长，验证了其盈利能力的可持续性</w:t>
      </w:r>
      <w:r>
        <w:rPr>
          <w:rFonts w:eastAsia="宋体" w:ascii="Times New Roman" w:hAnsi="Times New Roman" w:cs="Times New Roman"/>
          <w:b w:val="false"/>
          <w:i w:val="false"/>
          <w:sz w:val="22"/>
          <w:vertAlign w:val="superscript"/>
        </w:rPr>
        <w:t>[105]</w:t>
      </w:r>
      <w:r>
        <w:rPr>
          <w:rFonts w:eastAsia="宋体" w:ascii="Times New Roman" w:hAnsi="Times New Roman" w:cs="Times New Roman"/>
          <w:b w:val="false"/>
          <w:i w:val="false"/>
          <w:sz w:val="22"/>
        </w:rPr>
        <w:t>。</w:t>
      </w:r>
    </w:p>
    <w:p>
      <w:pPr>
        <w:pStyle w:val="EM_H2_STYLE"/>
        <w:spacing w:line="240" w:lineRule="auto" w:before="120" w:after="120"/>
        <w:ind w:left="0"/>
        <w:jc w:val="left"/>
      </w:pPr>
      <w:r>
        <w:rPr>
          <w:rFonts w:eastAsia="宋体" w:ascii="宋体" w:hAnsi="宋体" w:cs="宋体"/>
          <w:b w:val="true"/>
          <w:i w:val="false"/>
          <w:sz w:val="28"/>
        </w:rPr>
        <w:t>4.3 分红与股东回报</w:t>
      </w:r>
    </w:p>
    <w:p>
      <w:pPr>
        <w:spacing w:line="240" w:lineRule="auto" w:before="120" w:after="120"/>
        <w:ind w:firstLine="0"/>
        <w:jc w:val="left"/>
      </w:pPr>
      <w:r>
        <w:rPr>
          <w:rFonts w:eastAsia="宋体" w:ascii="Times New Roman" w:hAnsi="Times New Roman" w:cs="Times New Roman"/>
          <w:b w:val="false"/>
          <w:i w:val="false"/>
          <w:sz w:val="22"/>
        </w:rPr>
        <w:t>分众传媒始终将股东回报置于公司治理的核心位置，通过稳定的高比例现金分红政策持续回馈投资者。2025年度，公司累计现金分红总额达49.10亿元，其中年度利润分配方案拟派发现金红利27.44亿元（以144.42亿股为基数，每10股派1.90元含税），叠加此前季度分红21.66亿元</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[106]</w:t>
      </w:r>
      <w:r>
        <w:rPr>
          <w:rFonts w:eastAsia="宋体" w:ascii="Times New Roman" w:hAnsi="Times New Roman" w:cs="Times New Roman"/>
          <w:b w:val="false"/>
          <w:i w:val="false"/>
          <w:sz w:val="22"/>
        </w:rPr>
        <w:t>。这一分红规模占全年归母净利润（29.46亿元）的比例高达166.7%，若剔除联营公司减值等非经常性损益影响，实际分红占扣非净利润（27.19亿元）比例达180.5%，显著超越其承诺的"每年现金分红不低于扣非净利润80%"的政策底线</w:t>
      </w:r>
      <w:r>
        <w:rPr>
          <w:rFonts w:eastAsia="宋体" w:ascii="Times New Roman" w:hAnsi="Times New Roman" w:cs="Times New Roman"/>
          <w:b w:val="false"/>
          <w:i w:val="false"/>
          <w:sz w:val="22"/>
          <w:vertAlign w:val="superscript"/>
        </w:rPr>
        <w:t>[107]</w:t>
      </w:r>
      <w:r>
        <w:rPr>
          <w:rFonts w:eastAsia="宋体" w:ascii="Times New Roman" w:hAnsi="Times New Roman" w:cs="Times New Roman"/>
          <w:b w:val="false"/>
          <w:i w:val="false"/>
          <w:sz w:val="22"/>
          <w:vertAlign w:val="superscript"/>
        </w:rPr>
        <w:t>[108]</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公司分红能力建立在强劲的现金流和稳健的财务结构之上。2025年经营活动现金流量净额达72.09亿元，同比增长8.54%，创历史新高</w:t>
      </w:r>
      <w:r>
        <w:rPr>
          <w:rFonts w:eastAsia="宋体" w:ascii="Times New Roman" w:hAnsi="Times New Roman" w:cs="Times New Roman"/>
          <w:b w:val="false"/>
          <w:i w:val="false"/>
          <w:sz w:val="22"/>
          <w:vertAlign w:val="superscript"/>
        </w:rPr>
        <w:t>[106]</w:t>
      </w:r>
      <w:r>
        <w:rPr>
          <w:rFonts w:eastAsia="宋体" w:ascii="Times New Roman" w:hAnsi="Times New Roman" w:cs="Times New Roman"/>
          <w:b w:val="false"/>
          <w:i w:val="false"/>
          <w:sz w:val="22"/>
        </w:rPr>
        <w:t>。截至三季度末，资产负债率仅为29.26%，货币资金储备62.04亿元，为分红提供充足流动性保障</w:t>
      </w:r>
      <w:r>
        <w:rPr>
          <w:rFonts w:eastAsia="宋体" w:ascii="Times New Roman" w:hAnsi="Times New Roman" w:cs="Times New Roman"/>
          <w:b w:val="false"/>
          <w:i w:val="false"/>
          <w:sz w:val="22"/>
          <w:vertAlign w:val="superscript"/>
        </w:rPr>
        <w:t>[109]</w:t>
      </w:r>
      <w:r>
        <w:rPr>
          <w:rFonts w:eastAsia="宋体" w:ascii="Times New Roman" w:hAnsi="Times New Roman" w:cs="Times New Roman"/>
          <w:b w:val="false"/>
          <w:i w:val="false"/>
          <w:sz w:val="22"/>
        </w:rPr>
        <w:t>。值得注意的是，当年计提的25.28亿元长期股权投资减值损失（主要源于数禾科技）属于非现金项目，对实际现金流无影响，因此未削弱分红能力</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。相反，处置该资产带来7.91亿元现金流入，进一步强化了现金储备</w:t>
      </w:r>
      <w:r>
        <w:rPr>
          <w:rFonts w:eastAsia="宋体" w:ascii="Times New Roman" w:hAnsi="Times New Roman" w:cs="Times New Roman"/>
          <w:b w:val="false"/>
          <w:i w:val="false"/>
          <w:sz w:val="22"/>
          <w:vertAlign w:val="superscript"/>
        </w:rPr>
        <w:t>[110]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false"/>
          <w:i w:val="false"/>
          <w:sz w:val="22"/>
        </w:rPr>
        <w:t>从历史维度看，公司已形成"高频率+高比例"的分红传统：</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true"/>
                <w:i w:val="false"/>
                <w:sz w:val="22"/>
              </w:rPr>
              <w:t>分红周期</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分红金额</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股息率(TTM)</w:t>
            </w:r>
            <w:r>
              <w:rPr>
                <w:rFonts w:eastAsia="宋体" w:ascii="Times New Roman" w:hAnsi="Times New Roman" w:cs="Times New Roman"/>
                <w:b w:val="false"/>
                <w:i w:val="false"/>
                <w:sz w:val="22"/>
              </w:rPr>
              <w:t/>
            </w:r>
          </w:p>
        </w:tc>
        <w:tc>
          <w:tcPr>
            <w:tcW w:type="dxa" w:w="3060"/>
            <w:vAlign w:val="center"/>
          </w:tcPr>
          <w:p>
            <w:r>
              <w:rPr>
                <w:rFonts w:eastAsia="宋体" w:ascii="Times New Roman" w:hAnsi="Times New Roman" w:cs="Times New Roman"/>
                <w:b w:val="true"/>
                <w:i w:val="false"/>
                <w:sz w:val="22"/>
              </w:rPr>
              <w:t>分红政策特征</w:t>
            </w:r>
            <w:r>
              <w:rPr>
                <w:rFonts w:eastAsia="宋体" w:ascii="Times New Roman" w:hAnsi="Times New Roman" w:cs="Times New Roman"/>
                <w:b w:val="false"/>
                <w:i w:val="false"/>
                <w:sz w:val="22"/>
              </w:rPr>
              <w:t/>
            </w:r>
          </w:p>
        </w:tc>
      </w:tr>
      <w:tr>
        <w:tc>
          <w:tcPr>
            <w:tcW w:type="dxa" w:w="3060"/>
            <w:vAlign w:val="center"/>
          </w:tcPr>
          <w:p>
            <w:r>
              <w:rPr>
                <w:rFonts w:eastAsia="宋体" w:ascii="Times New Roman" w:hAnsi="Times New Roman" w:cs="Times New Roman"/>
                <w:b w:val="false"/>
                <w:i w:val="false"/>
                <w:sz w:val="22"/>
              </w:rPr>
              <w:t>2025年全年</w:t>
            </w:r>
          </w:p>
        </w:tc>
        <w:tc>
          <w:tcPr>
            <w:tcW w:type="dxa" w:w="3060"/>
            <w:vAlign w:val="center"/>
          </w:tcPr>
          <w:p>
            <w:r>
              <w:rPr>
                <w:rFonts w:eastAsia="宋体" w:ascii="Times New Roman" w:hAnsi="Times New Roman" w:cs="Times New Roman"/>
                <w:b w:val="false"/>
                <w:i w:val="false"/>
                <w:sz w:val="22"/>
              </w:rPr>
              <w:t>49.10亿元</w:t>
            </w:r>
          </w:p>
        </w:tc>
        <w:tc>
          <w:tcPr>
            <w:tcW w:type="dxa" w:w="3060"/>
            <w:vAlign w:val="center"/>
          </w:tcPr>
          <w:p>
            <w:r>
              <w:rPr>
                <w:rFonts w:eastAsia="宋体" w:ascii="Times New Roman" w:hAnsi="Times New Roman" w:cs="Times New Roman"/>
                <w:b w:val="false"/>
                <w:i w:val="false"/>
                <w:sz w:val="22"/>
              </w:rPr>
              <w:t>5.83%</w:t>
            </w:r>
          </w:p>
        </w:tc>
        <w:tc>
          <w:tcPr>
            <w:tcW w:type="dxa" w:w="3060"/>
            <w:vAlign w:val="center"/>
          </w:tcPr>
          <w:p>
            <w:r>
              <w:rPr>
                <w:rFonts w:eastAsia="宋体" w:ascii="Times New Roman" w:hAnsi="Times New Roman" w:cs="Times New Roman"/>
                <w:b w:val="false"/>
                <w:i w:val="false"/>
                <w:sz w:val="22"/>
              </w:rPr>
              <w:t>超承诺比例80%</w:t>
            </w:r>
          </w:p>
        </w:tc>
      </w:tr>
      <w:tr>
        <w:tc>
          <w:tcPr>
            <w:tcW w:type="dxa" w:w="3060"/>
            <w:vAlign w:val="center"/>
          </w:tcPr>
          <w:p>
            <w:r>
              <w:rPr>
                <w:rFonts w:eastAsia="宋体" w:ascii="Times New Roman" w:hAnsi="Times New Roman" w:cs="Times New Roman"/>
                <w:b w:val="false"/>
                <w:i w:val="false"/>
                <w:sz w:val="22"/>
              </w:rPr>
              <w:t>2025年前三季度</w:t>
            </w:r>
          </w:p>
        </w:tc>
        <w:tc>
          <w:tcPr>
            <w:tcW w:type="dxa" w:w="3060"/>
            <w:vAlign w:val="center"/>
          </w:tcPr>
          <w:p>
            <w:r>
              <w:rPr>
                <w:rFonts w:eastAsia="宋体" w:ascii="Times New Roman" w:hAnsi="Times New Roman" w:cs="Times New Roman"/>
                <w:b w:val="false"/>
                <w:i w:val="false"/>
                <w:sz w:val="22"/>
              </w:rPr>
              <w:t>21.66亿元</w:t>
            </w:r>
          </w:p>
        </w:tc>
        <w:tc>
          <w:tcPr>
            <w:tcW w:type="dxa" w:w="3060"/>
            <w:vAlign w:val="center"/>
          </w:tcPr>
          <w:p>
            <w:r>
              <w:rPr>
                <w:rFonts w:eastAsia="宋体" w:ascii="Times New Roman" w:hAnsi="Times New Roman" w:cs="Times New Roman"/>
                <w:b w:val="false"/>
                <w:i w:val="false"/>
                <w:sz w:val="22"/>
              </w:rPr>
              <w:t>-</w:t>
            </w:r>
          </w:p>
        </w:tc>
        <w:tc>
          <w:tcPr>
            <w:tcW w:type="dxa" w:w="3060"/>
            <w:vAlign w:val="center"/>
          </w:tcPr>
          <w:p>
            <w:r>
              <w:rPr>
                <w:rFonts w:eastAsia="宋体" w:ascii="Times New Roman" w:hAnsi="Times New Roman" w:cs="Times New Roman"/>
                <w:b w:val="false"/>
                <w:i w:val="false"/>
                <w:sz w:val="22"/>
              </w:rPr>
              <w:t>占归母净利51.08%</w:t>
            </w:r>
          </w:p>
        </w:tc>
      </w:tr>
      <w:tr>
        <w:tc>
          <w:tcPr>
            <w:tcW w:type="dxa" w:w="3060"/>
            <w:vAlign w:val="center"/>
          </w:tcPr>
          <w:p>
            <w:r>
              <w:rPr>
                <w:rFonts w:eastAsia="宋体" w:ascii="Times New Roman" w:hAnsi="Times New Roman" w:cs="Times New Roman"/>
                <w:b w:val="false"/>
                <w:i w:val="false"/>
                <w:sz w:val="22"/>
              </w:rPr>
              <w:t>2024年</w:t>
            </w:r>
          </w:p>
        </w:tc>
        <w:tc>
          <w:tcPr>
            <w:tcW w:type="dxa" w:w="3060"/>
            <w:vAlign w:val="center"/>
          </w:tcPr>
          <w:p>
            <w:r>
              <w:rPr>
                <w:rFonts w:eastAsia="宋体" w:ascii="Times New Roman" w:hAnsi="Times New Roman" w:cs="Times New Roman"/>
                <w:b w:val="false"/>
                <w:i w:val="false"/>
                <w:sz w:val="22"/>
              </w:rPr>
              <w:t>47.66亿元</w:t>
            </w:r>
          </w:p>
        </w:tc>
        <w:tc>
          <w:tcPr>
            <w:tcW w:type="dxa" w:w="3060"/>
            <w:vAlign w:val="center"/>
          </w:tcPr>
          <w:p>
            <w:r>
              <w:rPr>
                <w:rFonts w:eastAsia="宋体" w:ascii="Times New Roman" w:hAnsi="Times New Roman" w:cs="Times New Roman"/>
                <w:b w:val="false"/>
                <w:i w:val="false"/>
                <w:sz w:val="22"/>
              </w:rPr>
              <w:t>4.7%</w:t>
            </w:r>
          </w:p>
        </w:tc>
        <w:tc>
          <w:tcPr>
            <w:tcW w:type="dxa" w:w="3060"/>
            <w:vAlign w:val="center"/>
          </w:tcPr>
          <w:p>
            <w:r>
              <w:rPr>
                <w:rFonts w:eastAsia="宋体" w:ascii="Times New Roman" w:hAnsi="Times New Roman" w:cs="Times New Roman"/>
                <w:b w:val="false"/>
                <w:i w:val="false"/>
                <w:sz w:val="22"/>
              </w:rPr>
              <w:t>分红率92.45%</w:t>
            </w:r>
          </w:p>
        </w:tc>
      </w:tr>
      <w:tr>
        <w:tc>
          <w:tcPr>
            <w:tcW w:type="dxa" w:w="3060"/>
            <w:vAlign w:val="center"/>
          </w:tcPr>
          <w:p>
            <w:r>
              <w:rPr>
                <w:rFonts w:eastAsia="宋体" w:ascii="Times New Roman" w:hAnsi="Times New Roman" w:cs="Times New Roman"/>
                <w:b w:val="false"/>
                <w:i w:val="false"/>
                <w:sz w:val="22"/>
              </w:rPr>
              <w:t>A股上市累计</w:t>
            </w:r>
          </w:p>
        </w:tc>
        <w:tc>
          <w:tcPr>
            <w:tcW w:type="dxa" w:w="3060"/>
            <w:vAlign w:val="center"/>
          </w:tcPr>
          <w:p>
            <w:r>
              <w:rPr>
                <w:rFonts w:eastAsia="宋体" w:ascii="Times New Roman" w:hAnsi="Times New Roman" w:cs="Times New Roman"/>
                <w:b w:val="false"/>
                <w:i w:val="false"/>
                <w:sz w:val="22"/>
              </w:rPr>
              <w:t>326亿元</w:t>
            </w:r>
          </w:p>
        </w:tc>
        <w:tc>
          <w:tcPr>
            <w:tcW w:type="dxa" w:w="3060"/>
            <w:vAlign w:val="center"/>
          </w:tcPr>
          <w:p>
            <w:r>
              <w:rPr>
                <w:rFonts w:eastAsia="宋体" w:ascii="Times New Roman" w:hAnsi="Times New Roman" w:cs="Times New Roman"/>
                <w:b w:val="false"/>
                <w:i w:val="false"/>
                <w:sz w:val="22"/>
              </w:rPr>
              <w:t>年均&gt;5%</w:t>
            </w:r>
          </w:p>
        </w:tc>
        <w:tc>
          <w:tcPr>
            <w:tcW w:type="dxa" w:w="3060"/>
            <w:vAlign w:val="center"/>
          </w:tcPr>
          <w:p>
            <w:r>
              <w:rPr>
                <w:rFonts w:eastAsia="宋体" w:ascii="Times New Roman" w:hAnsi="Times New Roman" w:cs="Times New Roman"/>
                <w:b w:val="false"/>
                <w:i w:val="false"/>
                <w:sz w:val="22"/>
              </w:rPr>
              <w:t>超85%上市公司</w:t>
            </w:r>
          </w:p>
        </w:tc>
      </w:tr>
    </w:tbl>
    <w:p>
      <w:pPr>
        <w:spacing w:line="240" w:lineRule="auto" w:before="120" w:after="120"/>
        <w:ind w:firstLine="0"/>
        <w:jc w:val="left"/>
      </w:pPr>
      <w:r>
        <w:rPr>
          <w:rFonts w:eastAsia="宋体" w:ascii="Times New Roman" w:hAnsi="Times New Roman" w:cs="Times New Roman"/>
          <w:b w:val="false"/>
          <w:i w:val="true"/>
          <w:sz w:val="22"/>
        </w:rPr>
        <w:t>注：表格数据综合分众传媒公告及券商研报</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vertAlign w:val="superscript"/>
        </w:rPr>
        <w:t>[74]</w:t>
      </w:r>
      <w:r>
        <w:rPr>
          <w:rFonts w:eastAsia="宋体" w:ascii="Times New Roman" w:hAnsi="Times New Roman" w:cs="Times New Roman"/>
          <w:b w:val="false"/>
          <w:i w:val="false"/>
          <w:sz w:val="22"/>
          <w:vertAlign w:val="superscript"/>
        </w:rPr>
        <w:t>[106]</w:t>
      </w:r>
    </w:p>
    <w:p>
      <w:pPr>
        <w:spacing w:line="240" w:lineRule="auto" w:before="120" w:after="120"/>
        <w:ind w:firstLine="0"/>
        <w:jc w:val="left"/>
      </w:pPr>
      <w:r>
        <w:rPr>
          <w:rFonts w:eastAsia="宋体" w:ascii="Times New Roman" w:hAnsi="Times New Roman" w:cs="Times New Roman"/>
          <w:b w:val="false"/>
          <w:i w:val="false"/>
          <w:sz w:val="22"/>
        </w:rPr>
        <w:t>未来分红规划更趋积极：2026年中期利润分配方案已明确设定分红上限为"中期归母净利润的100%"，且实施条件仅要求相应期间净利润为正</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 xml:space="preserve">。该规划延续了公司《股东分红回报规划（2024-2026年度）》的核心承诺，即2024-2026年每年现金分红比例不低于扣非净利润的80% </w:t>
      </w:r>
      <w:r>
        <w:rPr>
          <w:rFonts w:eastAsia="宋体" w:ascii="Times New Roman" w:hAnsi="Times New Roman" w:cs="Times New Roman"/>
          <w:b w:val="false"/>
          <w:i w:val="false"/>
          <w:sz w:val="22"/>
          <w:vertAlign w:val="superscript"/>
        </w:rPr>
        <w:t>[107]</w:t>
      </w:r>
      <w:r>
        <w:rPr>
          <w:rFonts w:eastAsia="宋体" w:ascii="Times New Roman" w:hAnsi="Times New Roman" w:cs="Times New Roman"/>
          <w:b w:val="false"/>
          <w:i w:val="false"/>
          <w:sz w:val="22"/>
          <w:vertAlign w:val="superscript"/>
        </w:rPr>
        <w:t>[111]</w:t>
      </w:r>
      <w:r>
        <w:rPr>
          <w:rFonts w:eastAsia="宋体" w:ascii="Times New Roman" w:hAnsi="Times New Roman" w:cs="Times New Roman"/>
          <w:b w:val="false"/>
          <w:i w:val="false"/>
          <w:sz w:val="22"/>
        </w:rPr>
        <w:t>。投资者关系管理机制同步完善，公司通过电话、互动平台、官网等多渠道保持与投资者高频沟通，定期披露经营进展强化透明度</w:t>
      </w:r>
      <w:r>
        <w:rPr>
          <w:rFonts w:eastAsia="宋体" w:ascii="Times New Roman" w:hAnsi="Times New Roman" w:cs="Times New Roman"/>
          <w:b w:val="false"/>
          <w:i w:val="false"/>
          <w:sz w:val="22"/>
          <w:vertAlign w:val="superscript"/>
        </w:rPr>
        <w:t>[21]</w:t>
      </w:r>
      <w:r>
        <w:rPr>
          <w:rFonts w:eastAsia="宋体" w:ascii="Times New Roman" w:hAnsi="Times New Roman" w:cs="Times New Roman"/>
          <w:b w:val="false"/>
          <w:i w:val="false"/>
          <w:sz w:val="22"/>
        </w:rPr>
        <w:t>。这种"高分红+强沟通"的组合策略，使公司近12个月股息率保持在5.83%的行业高位，超过97%的A股上市公司，成为防御性投资的重要标的</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[108]</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5. 盈利预测和估值分析</w:t>
      </w:r>
    </w:p>
    <w:p>
      <w:pPr>
        <w:spacing w:line="240" w:lineRule="auto" w:before="120" w:after="120"/>
        <w:ind w:firstLine="0"/>
        <w:jc w:val="left"/>
      </w:pPr>
    </w:p>
    <w:p>
      <w:pPr>
        <w:pStyle w:val="EM_H2_STYLE"/>
        <w:spacing w:line="240" w:lineRule="auto" w:before="120" w:after="120"/>
        <w:ind w:left="0"/>
        <w:jc w:val="left"/>
      </w:pPr>
      <w:r>
        <w:rPr>
          <w:rFonts w:eastAsia="宋体" w:ascii="宋体" w:hAnsi="宋体" w:cs="宋体"/>
          <w:b w:val="true"/>
          <w:i w:val="false"/>
          <w:sz w:val="28"/>
        </w:rPr>
        <w:t>5.1 盈利预测假设与分业务预测</w:t>
      </w:r>
    </w:p>
    <w:p>
      <w:pPr>
        <w:spacing w:line="240" w:lineRule="auto" w:before="120" w:after="120"/>
        <w:ind w:firstLine="0"/>
        <w:jc w:val="left"/>
      </w:pPr>
      <w:r>
        <w:rPr>
          <w:rFonts w:eastAsia="宋体" w:ascii="Times New Roman" w:hAnsi="Times New Roman" w:cs="Times New Roman"/>
          <w:b w:val="false"/>
          <w:i w:val="false"/>
          <w:sz w:val="22"/>
        </w:rPr>
        <w:t>基于公司业务结构和行业趋势，我们对分众传媒2025-2027年盈利预测建立以下核心假设：</w:t>
      </w:r>
    </w:p>
    <w:p>
      <w:pPr>
        <w:spacing w:line="240" w:lineRule="auto" w:before="120" w:after="120"/>
        <w:ind w:left="0"/>
        <w:jc w:val="left"/>
      </w:pPr>
      <w:r>
        <w:rPr>
          <w:rFonts w:eastAsia="宋体" w:ascii="宋体" w:hAnsi="宋体" w:cs="宋体"/>
          <w:b w:val="true"/>
          <w:i w:val="false"/>
          <w:sz w:val="24"/>
        </w:rPr>
        <w:t>楼宇媒体业务</w:t>
      </w:r>
    </w:p>
    <w:p>
      <w:pPr>
        <w:spacing w:line="240" w:lineRule="auto" w:before="120" w:after="120"/>
        <w:ind w:firstLine="0"/>
        <w:jc w:val="left"/>
      </w:pPr>
      <w:r>
        <w:rPr>
          <w:rFonts w:eastAsia="宋体" w:ascii="Times New Roman" w:hAnsi="Times New Roman" w:cs="Times New Roman"/>
          <w:b w:val="false"/>
          <w:i w:val="false"/>
          <w:sz w:val="22"/>
        </w:rPr>
        <w:t>作为核心收入来源（占比94.32%），该业务增长主要来自三方面驱动：</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结构性调整</w:t>
      </w:r>
      <w:r>
        <w:rPr>
          <w:rFonts w:eastAsia="宋体" w:ascii="Times New Roman" w:hAnsi="Times New Roman" w:cs="Times New Roman"/>
          <w:b w:val="false"/>
          <w:i w:val="false"/>
          <w:sz w:val="22"/>
        </w:rPr>
        <w:t>：日用消费品收入预计2025年同比下降5.0%（2025H1实际降幅16.22%），但互联网与AI板块将延续高速增长，机构预测2025-2027年增速为90.0%/40.0%/20.0%，主要受益于AI应用投放激增（2025年互联网收入实际增幅188.59%）</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[9]</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单屏价值提升</w:t>
      </w:r>
      <w:r>
        <w:rPr>
          <w:rFonts w:eastAsia="宋体" w:ascii="Times New Roman" w:hAnsi="Times New Roman" w:cs="Times New Roman"/>
          <w:b w:val="false"/>
          <w:i w:val="false"/>
          <w:sz w:val="22"/>
        </w:rPr>
        <w:t>：通过点位优化（2025Q2媒体数量较2024年底减少3.7%）和刊挂率提升，叠加收购新潮传媒后的定价权强化，预计电梯电视单屏收入从2025年7,671.6元升至2027年7,994.6元，电梯海报从1,471.9元增至1,559.6元</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[112]</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创新业务增量</w:t>
      </w:r>
      <w:r>
        <w:rPr>
          <w:rFonts w:eastAsia="宋体" w:ascii="Times New Roman" w:hAnsi="Times New Roman" w:cs="Times New Roman"/>
          <w:b w:val="false"/>
          <w:i w:val="false"/>
          <w:sz w:val="22"/>
        </w:rPr>
        <w:t>：与支付宝合作的"碰一碰"业务已覆盖超40万点位，悲观/中性/乐观情景下预计2026年贡献收入0.648亿-37.8亿元（抽佣率4%-15%且分众与支付宝5:5分成）</w:t>
      </w:r>
      <w:r>
        <w:rPr>
          <w:rFonts w:eastAsia="宋体" w:ascii="Times New Roman" w:hAnsi="Times New Roman" w:cs="Times New Roman"/>
          <w:b w:val="false"/>
          <w:i w:val="false"/>
          <w:sz w:val="22"/>
          <w:vertAlign w:val="superscript"/>
        </w:rPr>
        <w:t>[112]</w:t>
      </w:r>
      <w:r>
        <w:rPr>
          <w:rFonts w:eastAsia="宋体" w:ascii="Times New Roman" w:hAnsi="Times New Roman" w:cs="Times New Roman"/>
          <w:b w:val="false"/>
          <w:i w:val="false"/>
          <w:sz w:val="22"/>
          <w:vertAlign w:val="superscript"/>
        </w:rPr>
        <w:t>[113]</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3060"/>
            <w:vAlign w:val="center"/>
          </w:tcPr>
          <w:p>
            <w:r>
              <w:rPr>
                <w:rFonts w:eastAsia="宋体" w:ascii="Times New Roman" w:hAnsi="Times New Roman" w:cs="Times New Roman"/>
                <w:b w:val="false"/>
                <w:i w:val="false"/>
                <w:sz w:val="22"/>
              </w:rPr>
              <w:t>楼宇媒体预测指标</w:t>
            </w:r>
          </w:p>
        </w:tc>
        <w:tc>
          <w:tcPr>
            <w:tcW w:type="dxa" w:w="3060"/>
            <w:vAlign w:val="center"/>
          </w:tcPr>
          <w:p>
            <w:r>
              <w:rPr>
                <w:rFonts w:eastAsia="宋体" w:ascii="Times New Roman" w:hAnsi="Times New Roman" w:cs="Times New Roman"/>
                <w:b w:val="false"/>
                <w:i w:val="false"/>
                <w:sz w:val="22"/>
              </w:rPr>
              <w:t>2025E</w:t>
            </w:r>
          </w:p>
        </w:tc>
        <w:tc>
          <w:tcPr>
            <w:tcW w:type="dxa" w:w="3060"/>
            <w:vAlign w:val="center"/>
          </w:tcPr>
          <w:p>
            <w:r>
              <w:rPr>
                <w:rFonts w:eastAsia="宋体" w:ascii="Times New Roman" w:hAnsi="Times New Roman" w:cs="Times New Roman"/>
                <w:b w:val="false"/>
                <w:i w:val="false"/>
                <w:sz w:val="22"/>
              </w:rPr>
              <w:t>2026E</w:t>
            </w:r>
          </w:p>
        </w:tc>
        <w:tc>
          <w:tcPr>
            <w:tcW w:type="dxa" w:w="3060"/>
            <w:vAlign w:val="center"/>
          </w:tcPr>
          <w:p>
            <w:r>
              <w:rPr>
                <w:rFonts w:eastAsia="宋体" w:ascii="Times New Roman" w:hAnsi="Times New Roman" w:cs="Times New Roman"/>
                <w:b w:val="false"/>
                <w:i w:val="false"/>
                <w:sz w:val="22"/>
              </w:rPr>
              <w:t>2027E</w:t>
            </w:r>
          </w:p>
        </w:tc>
      </w:tr>
      <w:tr>
        <w:tc>
          <w:tcPr>
            <w:tcW w:type="dxa" w:w="3060"/>
            <w:vAlign w:val="center"/>
          </w:tcPr>
          <w:p>
            <w:r>
              <w:rPr>
                <w:rFonts w:eastAsia="宋体" w:ascii="Times New Roman" w:hAnsi="Times New Roman" w:cs="Times New Roman"/>
                <w:b w:val="false"/>
                <w:i w:val="false"/>
                <w:sz w:val="22"/>
              </w:rPr>
              <w:t>电梯电视数量（万台）</w:t>
            </w:r>
          </w:p>
        </w:tc>
        <w:tc>
          <w:tcPr>
            <w:tcW w:type="dxa" w:w="3060"/>
            <w:vAlign w:val="center"/>
          </w:tcPr>
          <w:p>
            <w:r>
              <w:rPr>
                <w:rFonts w:eastAsia="宋体" w:ascii="Times New Roman" w:hAnsi="Times New Roman" w:cs="Times New Roman"/>
                <w:b w:val="false"/>
                <w:i w:val="false"/>
                <w:sz w:val="22"/>
              </w:rPr>
              <w:t>127.7</w:t>
            </w:r>
          </w:p>
        </w:tc>
        <w:tc>
          <w:tcPr>
            <w:tcW w:type="dxa" w:w="3060"/>
            <w:vAlign w:val="center"/>
          </w:tcPr>
          <w:p>
            <w:r>
              <w:rPr>
                <w:rFonts w:eastAsia="宋体" w:ascii="Times New Roman" w:hAnsi="Times New Roman" w:cs="Times New Roman"/>
                <w:b w:val="false"/>
                <w:i w:val="false"/>
                <w:sz w:val="22"/>
              </w:rPr>
              <w:t>146.4</w:t>
            </w:r>
          </w:p>
        </w:tc>
        <w:tc>
          <w:tcPr>
            <w:tcW w:type="dxa" w:w="3060"/>
            <w:vAlign w:val="center"/>
          </w:tcPr>
          <w:p>
            <w:r>
              <w:rPr>
                <w:rFonts w:eastAsia="宋体" w:ascii="Times New Roman" w:hAnsi="Times New Roman" w:cs="Times New Roman"/>
                <w:b w:val="false"/>
                <w:i w:val="false"/>
                <w:sz w:val="22"/>
              </w:rPr>
              <w:t>168.1</w:t>
            </w:r>
          </w:p>
        </w:tc>
      </w:tr>
      <w:tr>
        <w:tc>
          <w:tcPr>
            <w:tcW w:type="dxa" w:w="3060"/>
            <w:vAlign w:val="center"/>
          </w:tcPr>
          <w:p>
            <w:r>
              <w:rPr>
                <w:rFonts w:eastAsia="宋体" w:ascii="Times New Roman" w:hAnsi="Times New Roman" w:cs="Times New Roman"/>
                <w:b w:val="false"/>
                <w:i w:val="false"/>
                <w:sz w:val="22"/>
              </w:rPr>
              <w:t>单屏收入（元）</w:t>
            </w:r>
          </w:p>
        </w:tc>
        <w:tc>
          <w:tcPr>
            <w:tcW w:type="dxa" w:w="3060"/>
            <w:vAlign w:val="center"/>
          </w:tcPr>
          <w:p>
            <w:r>
              <w:rPr>
                <w:rFonts w:eastAsia="宋体" w:ascii="Times New Roman" w:hAnsi="Times New Roman" w:cs="Times New Roman"/>
                <w:b w:val="false"/>
                <w:i w:val="false"/>
                <w:sz w:val="22"/>
              </w:rPr>
              <w:t>7,671.6</w:t>
            </w:r>
          </w:p>
        </w:tc>
        <w:tc>
          <w:tcPr>
            <w:tcW w:type="dxa" w:w="3060"/>
            <w:vAlign w:val="center"/>
          </w:tcPr>
          <w:p>
            <w:r>
              <w:rPr>
                <w:rFonts w:eastAsia="宋体" w:ascii="Times New Roman" w:hAnsi="Times New Roman" w:cs="Times New Roman"/>
                <w:b w:val="false"/>
                <w:i w:val="false"/>
                <w:sz w:val="22"/>
              </w:rPr>
              <w:t>7,833.1</w:t>
            </w:r>
          </w:p>
        </w:tc>
        <w:tc>
          <w:tcPr>
            <w:tcW w:type="dxa" w:w="3060"/>
            <w:vAlign w:val="center"/>
          </w:tcPr>
          <w:p>
            <w:r>
              <w:rPr>
                <w:rFonts w:eastAsia="宋体" w:ascii="Times New Roman" w:hAnsi="Times New Roman" w:cs="Times New Roman"/>
                <w:b w:val="false"/>
                <w:i w:val="false"/>
                <w:sz w:val="22"/>
              </w:rPr>
              <w:t>7,994.6</w:t>
            </w:r>
          </w:p>
        </w:tc>
      </w:tr>
      <w:tr>
        <w:tc>
          <w:tcPr>
            <w:tcW w:type="dxa" w:w="3060"/>
            <w:vAlign w:val="center"/>
          </w:tcPr>
          <w:p>
            <w:r>
              <w:rPr>
                <w:rFonts w:eastAsia="宋体" w:ascii="Times New Roman" w:hAnsi="Times New Roman" w:cs="Times New Roman"/>
                <w:b w:val="false"/>
                <w:i w:val="false"/>
                <w:sz w:val="22"/>
              </w:rPr>
              <w:t>电梯海报数量（万台）</w:t>
            </w:r>
          </w:p>
        </w:tc>
        <w:tc>
          <w:tcPr>
            <w:tcW w:type="dxa" w:w="3060"/>
            <w:vAlign w:val="center"/>
          </w:tcPr>
          <w:p>
            <w:r>
              <w:rPr>
                <w:rFonts w:eastAsia="宋体" w:ascii="Times New Roman" w:hAnsi="Times New Roman" w:cs="Times New Roman"/>
                <w:b w:val="false"/>
                <w:i w:val="false"/>
                <w:sz w:val="22"/>
              </w:rPr>
              <w:t>171.1</w:t>
            </w:r>
          </w:p>
        </w:tc>
        <w:tc>
          <w:tcPr>
            <w:tcW w:type="dxa" w:w="3060"/>
            <w:vAlign w:val="center"/>
          </w:tcPr>
          <w:p>
            <w:r>
              <w:rPr>
                <w:rFonts w:eastAsia="宋体" w:ascii="Times New Roman" w:hAnsi="Times New Roman" w:cs="Times New Roman"/>
                <w:b w:val="false"/>
                <w:i w:val="false"/>
                <w:sz w:val="22"/>
              </w:rPr>
              <w:t>164.2</w:t>
            </w:r>
          </w:p>
        </w:tc>
        <w:tc>
          <w:tcPr>
            <w:tcW w:type="dxa" w:w="3060"/>
            <w:vAlign w:val="center"/>
          </w:tcPr>
          <w:p>
            <w:r>
              <w:rPr>
                <w:rFonts w:eastAsia="宋体" w:ascii="Times New Roman" w:hAnsi="Times New Roman" w:cs="Times New Roman"/>
                <w:b w:val="false"/>
                <w:i w:val="false"/>
                <w:sz w:val="22"/>
              </w:rPr>
              <w:t>157.7</w:t>
            </w:r>
          </w:p>
        </w:tc>
      </w:tr>
      <w:tr>
        <w:tc>
          <w:tcPr>
            <w:tcW w:type="dxa" w:w="3060"/>
            <w:vAlign w:val="center"/>
          </w:tcPr>
          <w:p>
            <w:r>
              <w:rPr>
                <w:rFonts w:eastAsia="宋体" w:ascii="Times New Roman" w:hAnsi="Times New Roman" w:cs="Times New Roman"/>
                <w:b w:val="false"/>
                <w:i w:val="false"/>
                <w:sz w:val="22"/>
              </w:rPr>
              <w:t>单屏收入（元）</w:t>
            </w:r>
          </w:p>
        </w:tc>
        <w:tc>
          <w:tcPr>
            <w:tcW w:type="dxa" w:w="3060"/>
            <w:vAlign w:val="center"/>
          </w:tcPr>
          <w:p>
            <w:r>
              <w:rPr>
                <w:rFonts w:eastAsia="宋体" w:ascii="Times New Roman" w:hAnsi="Times New Roman" w:cs="Times New Roman"/>
                <w:b w:val="false"/>
                <w:i w:val="false"/>
                <w:sz w:val="22"/>
              </w:rPr>
              <w:t>1,471.9</w:t>
            </w:r>
          </w:p>
        </w:tc>
        <w:tc>
          <w:tcPr>
            <w:tcW w:type="dxa" w:w="3060"/>
            <w:vAlign w:val="center"/>
          </w:tcPr>
          <w:p>
            <w:r>
              <w:rPr>
                <w:rFonts w:eastAsia="宋体" w:ascii="Times New Roman" w:hAnsi="Times New Roman" w:cs="Times New Roman"/>
                <w:b w:val="false"/>
                <w:i w:val="false"/>
                <w:sz w:val="22"/>
              </w:rPr>
              <w:t>1,515.8</w:t>
            </w:r>
          </w:p>
        </w:tc>
        <w:tc>
          <w:tcPr>
            <w:tcW w:type="dxa" w:w="3060"/>
            <w:vAlign w:val="center"/>
          </w:tcPr>
          <w:p>
            <w:r>
              <w:rPr>
                <w:rFonts w:eastAsia="宋体" w:ascii="Times New Roman" w:hAnsi="Times New Roman" w:cs="Times New Roman"/>
                <w:b w:val="false"/>
                <w:i w:val="false"/>
                <w:sz w:val="22"/>
              </w:rPr>
              <w:t>1,559.6</w:t>
            </w:r>
          </w:p>
        </w:tc>
      </w:tr>
      <w:tr>
        <w:tc>
          <w:tcPr>
            <w:tcW w:type="dxa" w:w="3060"/>
            <w:vAlign w:val="center"/>
          </w:tcPr>
          <w:p>
            <w:r>
              <w:rPr>
                <w:rFonts w:eastAsia="宋体" w:ascii="Times New Roman" w:hAnsi="Times New Roman" w:cs="Times New Roman"/>
                <w:b w:val="false"/>
                <w:i w:val="false"/>
                <w:sz w:val="22"/>
              </w:rPr>
              <w:t>总收入（亿元）</w:t>
            </w:r>
          </w:p>
        </w:tc>
        <w:tc>
          <w:tcPr>
            <w:tcW w:type="dxa" w:w="3060"/>
            <w:vAlign w:val="center"/>
          </w:tcPr>
          <w:p>
            <w:r>
              <w:rPr>
                <w:rFonts w:eastAsia="宋体" w:ascii="Times New Roman" w:hAnsi="Times New Roman" w:cs="Times New Roman"/>
                <w:b w:val="false"/>
                <w:i w:val="false"/>
                <w:sz w:val="22"/>
              </w:rPr>
              <w:t>123.2</w:t>
            </w:r>
          </w:p>
        </w:tc>
        <w:tc>
          <w:tcPr>
            <w:tcW w:type="dxa" w:w="3060"/>
            <w:vAlign w:val="center"/>
          </w:tcPr>
          <w:p>
            <w:r>
              <w:rPr>
                <w:rFonts w:eastAsia="宋体" w:ascii="Times New Roman" w:hAnsi="Times New Roman" w:cs="Times New Roman"/>
                <w:b w:val="false"/>
                <w:i w:val="false"/>
                <w:sz w:val="22"/>
              </w:rPr>
              <w:t>139.5</w:t>
            </w:r>
          </w:p>
        </w:tc>
        <w:tc>
          <w:tcPr>
            <w:tcW w:type="dxa" w:w="3060"/>
            <w:vAlign w:val="center"/>
          </w:tcPr>
          <w:p>
            <w:r>
              <w:rPr>
                <w:rFonts w:eastAsia="宋体" w:ascii="Times New Roman" w:hAnsi="Times New Roman" w:cs="Times New Roman"/>
                <w:b w:val="false"/>
                <w:i w:val="false"/>
                <w:sz w:val="22"/>
              </w:rPr>
              <w:t>159.0</w:t>
            </w:r>
          </w:p>
        </w:tc>
      </w:tr>
    </w:tbl>
    <w:p>
      <w:pPr>
        <w:spacing w:line="240" w:lineRule="auto" w:before="120" w:after="120"/>
        <w:ind w:firstLine="0"/>
        <w:jc w:val="left"/>
      </w:pPr>
      <w:r>
        <w:rPr>
          <w:rFonts w:eastAsia="宋体" w:ascii="Times New Roman" w:hAnsi="Times New Roman" w:cs="Times New Roman"/>
          <w:b w:val="false"/>
          <w:i w:val="true"/>
          <w:sz w:val="22"/>
        </w:rPr>
        <w:t>注：未包含"碰一碰"增量及新潮并表影响</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[112]</w:t>
      </w:r>
    </w:p>
    <w:p>
      <w:pPr>
        <w:spacing w:line="240" w:lineRule="auto" w:before="120" w:after="120"/>
        <w:ind w:left="0"/>
        <w:jc w:val="left"/>
      </w:pPr>
      <w:r>
        <w:rPr>
          <w:rFonts w:eastAsia="宋体" w:ascii="宋体" w:hAnsi="宋体" w:cs="宋体"/>
          <w:b w:val="true"/>
          <w:i w:val="false"/>
          <w:sz w:val="24"/>
        </w:rPr>
        <w:t>影院媒体业务</w:t>
      </w:r>
    </w:p>
    <w:p>
      <w:pPr>
        <w:spacing w:line="240" w:lineRule="auto" w:before="120" w:after="120"/>
        <w:ind w:firstLine="0"/>
        <w:jc w:val="left"/>
      </w:pPr>
      <w:r>
        <w:rPr>
          <w:rFonts w:eastAsia="宋体" w:ascii="Times New Roman" w:hAnsi="Times New Roman" w:cs="Times New Roman"/>
          <w:b w:val="false"/>
          <w:i w:val="false"/>
          <w:sz w:val="22"/>
        </w:rPr>
        <w:t>收入恢复取决于内容供给改善，预计2025年受益于优质影片上映增速达8.4%，但2026-2027年因高基数效应增速回落至-15.5%/-10.5%。2025年预计实现收入7.24亿元（同比+5.1%）</w:t>
      </w:r>
      <w:r>
        <w:rPr>
          <w:rFonts w:eastAsia="宋体" w:ascii="Times New Roman" w:hAnsi="Times New Roman" w:cs="Times New Roman"/>
          <w:b w:val="false"/>
          <w:i w:val="false"/>
          <w:sz w:val="22"/>
          <w:vertAlign w:val="superscript"/>
        </w:rPr>
        <w:t>[35]</w:t>
      </w:r>
      <w:r>
        <w:rPr>
          <w:rFonts w:eastAsia="宋体" w:ascii="Times New Roman" w:hAnsi="Times New Roman" w:cs="Times New Roman"/>
          <w:b w:val="false"/>
          <w:i w:val="false"/>
          <w:sz w:val="22"/>
          <w:vertAlign w:val="superscript"/>
        </w:rPr>
        <w:t>[38]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成本与费用假设</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毛利率</w:t>
      </w:r>
      <w:r>
        <w:rPr>
          <w:rFonts w:eastAsia="宋体" w:ascii="Times New Roman" w:hAnsi="Times New Roman" w:cs="Times New Roman"/>
          <w:b w:val="false"/>
          <w:i w:val="false"/>
          <w:sz w:val="22"/>
        </w:rPr>
        <w:t>：楼宇媒体毛利率维持68%-71%高位，但"碰一碰"早期补贴可能使2025年整体毛利率微降至66.6%（2025Q2实际毛利率71.43%）。影院媒体受票房波动影响，毛利率存在下行压力</w:t>
      </w:r>
      <w:r>
        <w:rPr>
          <w:rFonts w:eastAsia="宋体" w:ascii="Times New Roman" w:hAnsi="Times New Roman" w:cs="Times New Roman"/>
          <w:b w:val="false"/>
          <w:i w:val="false"/>
          <w:sz w:val="22"/>
          <w:vertAlign w:val="superscript"/>
        </w:rPr>
        <w:t>[39]</w:t>
      </w:r>
      <w:r>
        <w:rPr>
          <w:rFonts w:eastAsia="宋体" w:ascii="Times New Roman" w:hAnsi="Times New Roman" w:cs="Times New Roman"/>
          <w:b w:val="false"/>
          <w:i w:val="false"/>
          <w:sz w:val="22"/>
          <w:vertAlign w:val="superscript"/>
        </w:rPr>
        <w:t>[112]</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费用率</w:t>
      </w:r>
      <w:r>
        <w:rPr>
          <w:rFonts w:eastAsia="宋体" w:ascii="Times New Roman" w:hAnsi="Times New Roman" w:cs="Times New Roman"/>
          <w:b w:val="false"/>
          <w:i w:val="false"/>
          <w:sz w:val="22"/>
        </w:rPr>
        <w:t>：销售费用率稳定在18.2%-18.5%，管理费用率优化至3.8%-4.0%（新潮收购后人员整合带来降费空间）</w:t>
      </w:r>
      <w:r>
        <w:rPr>
          <w:rFonts w:eastAsia="宋体" w:ascii="Times New Roman" w:hAnsi="Times New Roman" w:cs="Times New Roman"/>
          <w:b w:val="false"/>
          <w:i w:val="false"/>
          <w:sz w:val="22"/>
          <w:vertAlign w:val="superscript"/>
        </w:rPr>
        <w:t>[7]</w:t>
      </w:r>
      <w:r>
        <w:rPr>
          <w:rFonts w:eastAsia="宋体" w:ascii="Times New Roman" w:hAnsi="Times New Roman" w:cs="Times New Roman"/>
          <w:b w:val="false"/>
          <w:i w:val="false"/>
          <w:sz w:val="22"/>
          <w:vertAlign w:val="superscript"/>
        </w:rPr>
        <w:t>[38]</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宋体" w:hAnsi="宋体" w:cs="宋体"/>
          <w:b w:val="true"/>
          <w:i w:val="false"/>
          <w:sz w:val="24"/>
        </w:rPr>
        <w:t>一次性因素与风险调整</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数禾减值影响</w:t>
      </w:r>
      <w:r>
        <w:rPr>
          <w:rFonts w:eastAsia="宋体" w:ascii="Times New Roman" w:hAnsi="Times New Roman" w:cs="Times New Roman"/>
          <w:b w:val="false"/>
          <w:i w:val="false"/>
          <w:sz w:val="22"/>
        </w:rPr>
        <w:t>：2025年计提21.53亿元资产减值导致净利润异常波动，该事件为一次性影响（2026年不再发生）</w:t>
      </w:r>
      <w:r>
        <w:rPr>
          <w:rFonts w:eastAsia="宋体" w:ascii="Times New Roman" w:hAnsi="Times New Roman" w:cs="Times New Roman"/>
          <w:b w:val="false"/>
          <w:i w:val="false"/>
          <w:sz w:val="22"/>
          <w:vertAlign w:val="superscript"/>
        </w:rPr>
        <w:t>[114]</w:t>
      </w:r>
      <w:r>
        <w:rPr>
          <w:rFonts w:eastAsia="宋体" w:ascii="Times New Roman" w:hAnsi="Times New Roman" w:cs="Times New Roman"/>
          <w:b w:val="false"/>
          <w:i w:val="false"/>
          <w:sz w:val="22"/>
          <w:vertAlign w:val="superscript"/>
        </w:rPr>
        <w:t>[115]</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盈利敏感性</w:t>
      </w:r>
      <w:r>
        <w:rPr>
          <w:rFonts w:eastAsia="宋体" w:ascii="Times New Roman" w:hAnsi="Times New Roman" w:cs="Times New Roman"/>
          <w:b w:val="false"/>
          <w:i w:val="false"/>
          <w:sz w:val="22"/>
        </w:rPr>
        <w:t>：若经济复苏不及预期或"碰一碰"转化率低于25%，2026年净利润可能下修至62.94亿元（基准预测67.57亿元）</w:t>
      </w:r>
      <w:r>
        <w:rPr>
          <w:rFonts w:eastAsia="宋体" w:ascii="Times New Roman" w:hAnsi="Times New Roman" w:cs="Times New Roman"/>
          <w:b w:val="false"/>
          <w:i w:val="false"/>
          <w:sz w:val="22"/>
          <w:vertAlign w:val="superscript"/>
        </w:rPr>
        <w:t>[116]</w:t>
      </w:r>
      <w:r>
        <w:rPr>
          <w:rFonts w:eastAsia="宋体" w:ascii="Times New Roman" w:hAnsi="Times New Roman" w:cs="Times New Roman"/>
          <w:b w:val="false"/>
          <w:i w:val="false"/>
          <w:sz w:val="22"/>
        </w:rPr>
        <w:t>。</w:t>
      </w:r>
    </w:p>
    <w:tbl>
      <w:tblPr>
        <w:tblW w:w="0" w:type="auto"/>
        <w:tblBorders>
          <w:top w:val="single"/>
          <w:left w:val="single"/>
          <w:bottom w:val="single"/>
          <w:right w:val="single"/>
          <w:insideH w:val="single"/>
          <w:insideV w:val="single"/>
        </w:tblBorders>
      </w:tblPr>
      <w:tblGrid>
        <w:gridCol w:w="9000"/>
      </w:tblGrid>
      <w:tr>
        <w:tc>
          <w:tcPr>
            <w:tcW w:type="dxa" w:w="4080"/>
            <w:vAlign w:val="center"/>
          </w:tcPr>
          <w:p>
            <w:r>
              <w:rPr>
                <w:rFonts w:eastAsia="宋体" w:ascii="Times New Roman" w:hAnsi="Times New Roman" w:cs="Times New Roman"/>
                <w:b w:val="false"/>
                <w:i w:val="false"/>
                <w:sz w:val="22"/>
              </w:rPr>
              <w:t>盈利预测情景</w:t>
            </w:r>
          </w:p>
        </w:tc>
        <w:tc>
          <w:tcPr>
            <w:tcW w:type="dxa" w:w="4080"/>
            <w:vAlign w:val="center"/>
          </w:tcPr>
          <w:p>
            <w:r>
              <w:rPr>
                <w:rFonts w:eastAsia="宋体" w:ascii="Times New Roman" w:hAnsi="Times New Roman" w:cs="Times New Roman"/>
                <w:b w:val="false"/>
                <w:i w:val="false"/>
                <w:sz w:val="22"/>
              </w:rPr>
              <w:t>2025E归母净利（亿元）</w:t>
            </w:r>
          </w:p>
        </w:tc>
        <w:tc>
          <w:tcPr>
            <w:tcW w:type="dxa" w:w="4080"/>
            <w:vAlign w:val="center"/>
          </w:tcPr>
          <w:p>
            <w:r>
              <w:rPr>
                <w:rFonts w:eastAsia="宋体" w:ascii="Times New Roman" w:hAnsi="Times New Roman" w:cs="Times New Roman"/>
                <w:b w:val="false"/>
                <w:i w:val="false"/>
                <w:sz w:val="22"/>
              </w:rPr>
              <w:t>2026E归母净利（亿元）</w:t>
            </w:r>
          </w:p>
        </w:tc>
      </w:tr>
      <w:tr>
        <w:tc>
          <w:tcPr>
            <w:tcW w:type="dxa" w:w="4080"/>
            <w:vAlign w:val="center"/>
          </w:tcPr>
          <w:p>
            <w:r>
              <w:rPr>
                <w:rFonts w:eastAsia="宋体" w:ascii="Times New Roman" w:hAnsi="Times New Roman" w:cs="Times New Roman"/>
                <w:b w:val="false"/>
                <w:i w:val="false"/>
                <w:sz w:val="22"/>
              </w:rPr>
              <w:t>基准情形</w:t>
            </w:r>
          </w:p>
        </w:tc>
        <w:tc>
          <w:tcPr>
            <w:tcW w:type="dxa" w:w="4080"/>
            <w:vAlign w:val="center"/>
          </w:tcPr>
          <w:p>
            <w:r>
              <w:rPr>
                <w:rFonts w:eastAsia="宋体" w:ascii="Times New Roman" w:hAnsi="Times New Roman" w:cs="Times New Roman"/>
                <w:b w:val="false"/>
                <w:i w:val="false"/>
                <w:sz w:val="22"/>
              </w:rPr>
              <w:t>56.44</w:t>
            </w:r>
          </w:p>
        </w:tc>
        <w:tc>
          <w:tcPr>
            <w:tcW w:type="dxa" w:w="4080"/>
            <w:vAlign w:val="center"/>
          </w:tcPr>
          <w:p>
            <w:r>
              <w:rPr>
                <w:rFonts w:eastAsia="宋体" w:ascii="Times New Roman" w:hAnsi="Times New Roman" w:cs="Times New Roman"/>
                <w:b w:val="false"/>
                <w:i w:val="false"/>
                <w:sz w:val="22"/>
              </w:rPr>
              <w:t>67.57</w:t>
            </w:r>
          </w:p>
        </w:tc>
      </w:tr>
      <w:tr>
        <w:tc>
          <w:tcPr>
            <w:tcW w:type="dxa" w:w="4080"/>
            <w:vAlign w:val="center"/>
          </w:tcPr>
          <w:p>
            <w:r>
              <w:rPr>
                <w:rFonts w:eastAsia="宋体" w:ascii="Times New Roman" w:hAnsi="Times New Roman" w:cs="Times New Roman"/>
                <w:b w:val="false"/>
                <w:i w:val="false"/>
                <w:sz w:val="22"/>
              </w:rPr>
              <w:t>悲观情形（风险触发）</w:t>
            </w:r>
          </w:p>
        </w:tc>
        <w:tc>
          <w:tcPr>
            <w:tcW w:type="dxa" w:w="4080"/>
            <w:vAlign w:val="center"/>
          </w:tcPr>
          <w:p>
            <w:r>
              <w:rPr>
                <w:rFonts w:eastAsia="宋体" w:ascii="Times New Roman" w:hAnsi="Times New Roman" w:cs="Times New Roman"/>
                <w:b w:val="false"/>
                <w:i w:val="false"/>
                <w:sz w:val="22"/>
              </w:rPr>
              <w:t>55.14</w:t>
            </w:r>
          </w:p>
        </w:tc>
        <w:tc>
          <w:tcPr>
            <w:tcW w:type="dxa" w:w="4080"/>
            <w:vAlign w:val="center"/>
          </w:tcPr>
          <w:p>
            <w:r>
              <w:rPr>
                <w:rFonts w:eastAsia="宋体" w:ascii="Times New Roman" w:hAnsi="Times New Roman" w:cs="Times New Roman"/>
                <w:b w:val="false"/>
                <w:i w:val="false"/>
                <w:sz w:val="22"/>
              </w:rPr>
              <w:t>62.94</w:t>
            </w:r>
          </w:p>
        </w:tc>
      </w:tr>
    </w:tbl>
    <w:p>
      <w:pPr>
        <w:spacing w:line="240" w:lineRule="auto" w:before="120" w:after="120"/>
        <w:ind w:firstLine="0"/>
        <w:jc w:val="left"/>
      </w:pPr>
      <w:r>
        <w:rPr>
          <w:rFonts w:eastAsia="宋体" w:ascii="Times New Roman" w:hAnsi="Times New Roman" w:cs="Times New Roman"/>
          <w:b w:val="false"/>
          <w:i w:val="true"/>
          <w:sz w:val="22"/>
        </w:rPr>
        <w:t>数据来源：长江证券敏感性分析</w:t>
      </w:r>
      <w:r>
        <w:rPr>
          <w:rFonts w:eastAsia="宋体" w:ascii="Times New Roman" w:hAnsi="Times New Roman" w:cs="Times New Roman"/>
          <w:b w:val="false"/>
          <w:i w:val="false"/>
          <w:sz w:val="22"/>
          <w:vertAlign w:val="superscript"/>
        </w:rPr>
        <w:t>[116]</w:t>
      </w:r>
    </w:p>
    <w:p>
      <w:pPr>
        <w:spacing w:line="240" w:lineRule="auto" w:before="120" w:after="120"/>
        <w:ind w:left="0"/>
        <w:jc w:val="left"/>
      </w:pPr>
      <w:r>
        <w:rPr>
          <w:rFonts w:eastAsia="宋体" w:ascii="宋体" w:hAnsi="宋体" w:cs="宋体"/>
          <w:b w:val="true"/>
          <w:i w:val="false"/>
          <w:sz w:val="24"/>
        </w:rPr>
        <w:t>综合盈利预测</w:t>
      </w:r>
    </w:p>
    <w:p>
      <w:pPr>
        <w:spacing w:line="240" w:lineRule="auto" w:before="120" w:after="120"/>
        <w:ind w:firstLine="0"/>
        <w:jc w:val="left"/>
      </w:pPr>
      <w:r>
        <w:rPr>
          <w:rFonts w:eastAsia="宋体" w:ascii="Times New Roman" w:hAnsi="Times New Roman" w:cs="Times New Roman"/>
          <w:b w:val="false"/>
          <w:i w:val="false"/>
          <w:sz w:val="22"/>
        </w:rPr>
        <w:t>排除一次性减值影响后，主业经营利润保持增长动能。机构一致性预期2025-2027年归母净利润中值分别为56.5亿/67.6亿/76.6亿元，对应EPS 0.39/0.47/0.53元</w:t>
      </w:r>
      <w:r>
        <w:rPr>
          <w:rFonts w:eastAsia="宋体" w:ascii="Times New Roman" w:hAnsi="Times New Roman" w:cs="Times New Roman"/>
          <w:b w:val="false"/>
          <w:i w:val="false"/>
          <w:sz w:val="22"/>
          <w:vertAlign w:val="superscript"/>
        </w:rPr>
        <w:t>[113]</w:t>
      </w:r>
      <w:r>
        <w:rPr>
          <w:rFonts w:eastAsia="宋体" w:ascii="Times New Roman" w:hAnsi="Times New Roman" w:cs="Times New Roman"/>
          <w:b w:val="false"/>
          <w:i w:val="false"/>
          <w:sz w:val="22"/>
          <w:vertAlign w:val="superscript"/>
        </w:rPr>
        <w:t>[116]</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6. 总结</w:t>
      </w:r>
    </w:p>
    <w:p>
      <w:pPr>
        <w:pStyle w:val="EM_H2_STYLE"/>
        <w:spacing w:line="240" w:lineRule="auto" w:before="120" w:after="120"/>
        <w:ind w:left="0"/>
        <w:jc w:val="left"/>
      </w:pPr>
      <w:r>
        <w:rPr>
          <w:rFonts w:eastAsia="宋体" w:ascii="宋体" w:hAnsi="宋体" w:cs="宋体"/>
          <w:b w:val="true"/>
          <w:i w:val="false"/>
          <w:sz w:val="28"/>
        </w:rPr>
        <w:t>6.1 核心观点与投资逻辑</w:t>
      </w:r>
    </w:p>
    <w:p>
      <w:pPr>
        <w:spacing w:line="240" w:lineRule="auto" w:before="120" w:after="120"/>
        <w:ind w:left="0"/>
        <w:jc w:val="left"/>
      </w:pPr>
      <w:r>
        <w:rPr>
          <w:rFonts w:eastAsia="宋体" w:ascii="宋体" w:hAnsi="宋体" w:cs="宋体"/>
          <w:b w:val="true"/>
          <w:i w:val="false"/>
          <w:sz w:val="24"/>
        </w:rPr>
        <w:t>核心观点与投资逻辑</w:t>
      </w:r>
    </w:p>
    <w:p>
      <w:pPr>
        <w:spacing w:line="240" w:lineRule="auto" w:before="120" w:after="120"/>
        <w:ind w:firstLine="0"/>
        <w:jc w:val="left"/>
      </w:pPr>
      <w:r>
        <w:rPr>
          <w:rFonts w:eastAsia="宋体" w:ascii="Times New Roman" w:hAnsi="Times New Roman" w:cs="Times New Roman"/>
          <w:b w:val="false"/>
          <w:i w:val="false"/>
          <w:sz w:val="22"/>
        </w:rPr>
        <w:t>分众传媒作为中国梯媒行业的绝对领导者，依托不可复制的线下流量入口和数字化升级战略，构建了深厚的护城河与持续增长动能。其核心价值源于三大维度：</w:t>
      </w:r>
    </w:p>
    <w:p>
      <w:pPr>
        <w:spacing w:line="240" w:lineRule="auto" w:before="120" w:after="120"/>
        <w:ind w:firstLine="0"/>
        <w:jc w:val="left"/>
      </w:pPr>
      <w:r>
        <w:rPr>
          <w:rFonts w:eastAsia="宋体" w:ascii="Times New Roman" w:hAnsi="Times New Roman" w:cs="Times New Roman"/>
          <w:b w:val="true"/>
          <w:i w:val="false"/>
          <w:sz w:val="22"/>
        </w:rPr>
        <w:t>核心场景垄断地位</w:t>
      </w:r>
      <w:r>
        <w:rPr>
          <w:rFonts w:eastAsia="宋体" w:ascii="Times New Roman" w:hAnsi="Times New Roman" w:cs="Times New Roman"/>
          <w:b w:val="false"/>
          <w:i w:val="false"/>
          <w:sz w:val="22"/>
        </w:rPr>
        <w:t>方面，公司占据城市主流人群每日必经的电梯场景，形成“高频触达+低干扰+强制曝光”的独特传播优势。覆盖全国超340个城市的300余万终端网络，触达4亿城市人口，在写字楼场景覆盖率高达98%，社区场景通过并购新潮传媒实现深度渗透</w:t>
      </w:r>
      <w:r>
        <w:rPr>
          <w:rFonts w:eastAsia="宋体" w:ascii="Times New Roman" w:hAnsi="Times New Roman" w:cs="Times New Roman"/>
          <w:b w:val="false"/>
          <w:i w:val="false"/>
          <w:sz w:val="22"/>
          <w:vertAlign w:val="superscript"/>
        </w:rPr>
        <w:t>[117]</w:t>
      </w:r>
      <w:r>
        <w:rPr>
          <w:rFonts w:eastAsia="宋体" w:ascii="Times New Roman" w:hAnsi="Times New Roman" w:cs="Times New Roman"/>
          <w:b w:val="false"/>
          <w:i w:val="false"/>
          <w:sz w:val="22"/>
          <w:vertAlign w:val="superscript"/>
        </w:rPr>
        <w:t>[118]</w:t>
      </w:r>
      <w:r>
        <w:rPr>
          <w:rFonts w:eastAsia="宋体" w:ascii="Times New Roman" w:hAnsi="Times New Roman" w:cs="Times New Roman"/>
          <w:b w:val="false"/>
          <w:i w:val="false"/>
          <w:sz w:val="22"/>
        </w:rPr>
        <w:t>。这种物理空间的排他性布局使品牌广告触达效率显著高于线上媒介，凯度研究证实“一抖一书一分众”组合已成为品牌资产提升的最有效范式，电梯媒体以85%的广告语记忆率位居全渠道首位</w:t>
      </w:r>
      <w:r>
        <w:rPr>
          <w:rFonts w:eastAsia="宋体" w:ascii="Times New Roman" w:hAnsi="Times New Roman" w:cs="Times New Roman"/>
          <w:b w:val="false"/>
          <w:i w:val="false"/>
          <w:sz w:val="22"/>
          <w:vertAlign w:val="superscript"/>
        </w:rPr>
        <w:t>[36]</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数字化转型驱动价值再造</w:t>
      </w:r>
      <w:r>
        <w:rPr>
          <w:rFonts w:eastAsia="宋体" w:ascii="Times New Roman" w:hAnsi="Times New Roman" w:cs="Times New Roman"/>
          <w:b w:val="false"/>
          <w:i w:val="false"/>
          <w:sz w:val="22"/>
        </w:rPr>
        <w:t>是公司第二重增长引擎。通过“千楼千面”系统实现精准定向投放，广告主可基于年龄、消费偏好等标签筛选目标楼宇</w:t>
      </w:r>
      <w:r>
        <w:rPr>
          <w:rFonts w:eastAsia="宋体" w:ascii="Times New Roman" w:hAnsi="Times New Roman" w:cs="Times New Roman"/>
          <w:b w:val="false"/>
          <w:i w:val="false"/>
          <w:sz w:val="22"/>
          <w:vertAlign w:val="superscript"/>
        </w:rPr>
        <w:t>[119]</w:t>
      </w:r>
      <w:r>
        <w:rPr>
          <w:rFonts w:eastAsia="宋体" w:ascii="Times New Roman" w:hAnsi="Times New Roman" w:cs="Times New Roman"/>
          <w:b w:val="false"/>
          <w:i w:val="false"/>
          <w:sz w:val="22"/>
        </w:rPr>
        <w:t>。全域营销中台打通天猫、抖音数据回流，建立曝光人群到销售转化的追踪体系，解决传统广告效果归因痛点</w:t>
      </w:r>
      <w:r>
        <w:rPr>
          <w:rFonts w:eastAsia="宋体" w:ascii="Times New Roman" w:hAnsi="Times New Roman" w:cs="Times New Roman"/>
          <w:b w:val="false"/>
          <w:i w:val="false"/>
          <w:sz w:val="22"/>
          <w:vertAlign w:val="superscript"/>
        </w:rPr>
        <w:t>[53]</w:t>
      </w:r>
      <w:r>
        <w:rPr>
          <w:rFonts w:eastAsia="宋体" w:ascii="Times New Roman" w:hAnsi="Times New Roman" w:cs="Times New Roman"/>
          <w:b w:val="false"/>
          <w:i w:val="false"/>
          <w:sz w:val="22"/>
        </w:rPr>
        <w:t>。AI技术进一步赋能内容动态优化，系统实时反馈广告表现并自动分配预算至高转化区域</w:t>
      </w:r>
      <w:r>
        <w:rPr>
          <w:rFonts w:eastAsia="宋体" w:ascii="Times New Roman" w:hAnsi="Times New Roman" w:cs="Times New Roman"/>
          <w:b w:val="false"/>
          <w:i w:val="false"/>
          <w:sz w:val="22"/>
          <w:vertAlign w:val="superscript"/>
        </w:rPr>
        <w:t>[119]</w:t>
      </w:r>
      <w:r>
        <w:rPr>
          <w:rFonts w:eastAsia="宋体" w:ascii="Times New Roman" w:hAnsi="Times New Roman" w:cs="Times New Roman"/>
          <w:b w:val="false"/>
          <w:i w:val="false"/>
          <w:sz w:val="22"/>
        </w:rPr>
        <w:t>。2025年数字化广告收入占比目标突破25%，技术升级持续提升单屏营销价值</w:t>
      </w:r>
      <w:r>
        <w:rPr>
          <w:rFonts w:eastAsia="宋体" w:ascii="Times New Roman" w:hAnsi="Times New Roman" w:cs="Times New Roman"/>
          <w:b w:val="false"/>
          <w:i w:val="false"/>
          <w:sz w:val="22"/>
          <w:vertAlign w:val="superscript"/>
        </w:rPr>
        <w:t>[120]</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并购整合与新业务突破</w:t>
      </w:r>
      <w:r>
        <w:rPr>
          <w:rFonts w:eastAsia="宋体" w:ascii="Times New Roman" w:hAnsi="Times New Roman" w:cs="Times New Roman"/>
          <w:b w:val="false"/>
          <w:i w:val="false"/>
          <w:sz w:val="22"/>
        </w:rPr>
        <w:t>构成第三重增长逻辑。收购新潮传媒（估值83亿元）实现行业格局重塑：</w:t>
      </w:r>
    </w:p>
    <w:p>
      <w:pPr>
        <w:numPr>
          <w:ilvl w:val="0"/>
          <w:numId w:val="1"/>
        </w:numPr>
        <w:spacing w:line="240" w:lineRule="auto" w:before="120" w:after="120"/>
        <w:jc w:val="left"/>
      </w:pPr>
      <w:r>
        <w:rPr>
          <w:rFonts w:eastAsia="宋体" w:ascii="Times New Roman" w:hAnsi="Times New Roman" w:cs="Times New Roman"/>
          <w:b w:val="true"/>
          <w:i w:val="false"/>
          <w:sz w:val="22"/>
        </w:rPr>
        <w:t>市场份额</w:t>
      </w:r>
      <w:r>
        <w:rPr>
          <w:rFonts w:eastAsia="宋体" w:ascii="Times New Roman" w:hAnsi="Times New Roman" w:cs="Times New Roman"/>
          <w:b w:val="false"/>
          <w:i w:val="false"/>
          <w:sz w:val="22"/>
        </w:rPr>
        <w:t>从68.3%跃升至80%以上，终结长期价格战</w:t>
      </w:r>
      <w:r>
        <w:rPr>
          <w:rFonts w:eastAsia="宋体" w:ascii="Times New Roman" w:hAnsi="Times New Roman" w:cs="Times New Roman"/>
          <w:b w:val="false"/>
          <w:i w:val="false"/>
          <w:sz w:val="22"/>
          <w:vertAlign w:val="superscript"/>
        </w:rPr>
        <w:t>[121]</w:t>
      </w:r>
    </w:p>
    <w:p>
      <w:pPr>
        <w:numPr>
          <w:ilvl w:val="0"/>
          <w:numId w:val="1"/>
        </w:numPr>
        <w:spacing w:line="240" w:lineRule="auto" w:before="120" w:after="120"/>
        <w:jc w:val="left"/>
      </w:pPr>
      <w:r>
        <w:rPr>
          <w:rFonts w:eastAsia="宋体" w:ascii="Times New Roman" w:hAnsi="Times New Roman" w:cs="Times New Roman"/>
          <w:b w:val="true"/>
          <w:i w:val="false"/>
          <w:sz w:val="22"/>
        </w:rPr>
        <w:t>场景互补</w:t>
      </w:r>
      <w:r>
        <w:rPr>
          <w:rFonts w:eastAsia="宋体" w:ascii="Times New Roman" w:hAnsi="Times New Roman" w:cs="Times New Roman"/>
          <w:b w:val="false"/>
          <w:i w:val="false"/>
          <w:sz w:val="22"/>
        </w:rPr>
        <w:t>：分众300万终端聚焦写字楼，新潮74万屏深耕社区，覆盖中产家庭生活场景</w:t>
      </w:r>
      <w:r>
        <w:rPr>
          <w:rFonts w:eastAsia="宋体" w:ascii="Times New Roman" w:hAnsi="Times New Roman" w:cs="Times New Roman"/>
          <w:b w:val="false"/>
          <w:i w:val="false"/>
          <w:sz w:val="22"/>
          <w:vertAlign w:val="superscript"/>
        </w:rPr>
        <w:t>[118]</w:t>
      </w:r>
    </w:p>
    <w:p>
      <w:pPr>
        <w:numPr>
          <w:ilvl w:val="0"/>
          <w:numId w:val="1"/>
        </w:numPr>
        <w:spacing w:line="240" w:lineRule="auto" w:before="120" w:after="120"/>
        <w:jc w:val="left"/>
      </w:pPr>
      <w:r>
        <w:rPr>
          <w:rFonts w:eastAsia="宋体" w:ascii="Times New Roman" w:hAnsi="Times New Roman" w:cs="Times New Roman"/>
          <w:b w:val="true"/>
          <w:i w:val="false"/>
          <w:sz w:val="22"/>
        </w:rPr>
        <w:t>数据协同</w:t>
      </w:r>
      <w:r>
        <w:rPr>
          <w:rFonts w:eastAsia="宋体" w:ascii="Times New Roman" w:hAnsi="Times New Roman" w:cs="Times New Roman"/>
          <w:b w:val="false"/>
          <w:i w:val="false"/>
          <w:sz w:val="22"/>
        </w:rPr>
        <w:t>：整合阿里（分众）与京东（新潮）生态，构建全域消费画像</w:t>
      </w:r>
      <w:r>
        <w:rPr>
          <w:rFonts w:eastAsia="宋体" w:ascii="Times New Roman" w:hAnsi="Times New Roman" w:cs="Times New Roman"/>
          <w:b w:val="false"/>
          <w:i w:val="false"/>
          <w:sz w:val="22"/>
          <w:vertAlign w:val="superscript"/>
        </w:rPr>
        <w:t>[118]</w:t>
      </w:r>
      <w:r>
        <w:rPr>
          <w:rFonts w:eastAsia="宋体" w:ascii="Times New Roman" w:hAnsi="Times New Roman" w:cs="Times New Roman"/>
          <w:b w:val="false"/>
          <w:i w:val="false"/>
          <w:sz w:val="22"/>
        </w:rPr>
        <w:t/>
      </w:r>
      <w:r>
        <w:rPr>
          <w:rFonts w:eastAsia="宋体" w:ascii="Times New Roman" w:hAnsi="Times New Roman" w:cs="Times New Roman"/>
          <w:b w:val="false"/>
          <w:i w:val="false"/>
          <w:sz w:val="22"/>
        </w:rPr>
        <w:t>协同效应预计提升毛利率5-8个百分点，年化成本节约超10亿元</w:t>
      </w:r>
      <w:r>
        <w:rPr>
          <w:rFonts w:eastAsia="宋体" w:ascii="Times New Roman" w:hAnsi="Times New Roman" w:cs="Times New Roman"/>
          <w:b w:val="false"/>
          <w:i w:val="false"/>
          <w:sz w:val="22"/>
          <w:vertAlign w:val="superscript"/>
        </w:rPr>
        <w:t>[121]</w:t>
      </w:r>
      <w:r>
        <w:rPr>
          <w:rFonts w:eastAsia="宋体" w:ascii="Times New Roman" w:hAnsi="Times New Roman" w:cs="Times New Roman"/>
          <w:b w:val="false"/>
          <w:i w:val="false"/>
          <w:sz w:val="22"/>
        </w:rPr>
        <w:t>。同时，与支付宝联合推出的“碰一碰”功能创造线下流量数字化新入口，用户贴近屏幕即可领取红包或优惠券，将百万终端转化为O2O服务点，为品牌提供可量化的线下引流方案</w:t>
      </w:r>
      <w:r>
        <w:rPr>
          <w:rFonts w:eastAsia="宋体" w:ascii="Times New Roman" w:hAnsi="Times New Roman" w:cs="Times New Roman"/>
          <w:b w:val="false"/>
          <w:i w:val="false"/>
          <w:sz w:val="22"/>
          <w:vertAlign w:val="superscript"/>
        </w:rPr>
        <w:t>[53]</w:t>
      </w:r>
      <w:r>
        <w:rPr>
          <w:rFonts w:eastAsia="宋体" w:ascii="Times New Roman" w:hAnsi="Times New Roman" w:cs="Times New Roman"/>
          <w:b w:val="false"/>
          <w:i w:val="false"/>
          <w:sz w:val="22"/>
        </w:rPr>
        <w:t>。</w:t>
      </w:r>
    </w:p>
    <w:p>
      <w:pPr>
        <w:spacing w:line="240" w:lineRule="auto" w:before="120" w:after="120"/>
        <w:ind w:firstLine="0"/>
        <w:jc w:val="left"/>
      </w:pPr>
      <w:r>
        <w:rPr>
          <w:rFonts w:eastAsia="宋体" w:ascii="Times New Roman" w:hAnsi="Times New Roman" w:cs="Times New Roman"/>
          <w:b w:val="true"/>
          <w:i w:val="false"/>
          <w:sz w:val="22"/>
        </w:rPr>
        <w:t>投资逻辑聚焦三重确定性</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1. </w:t>
      </w:r>
      <w:r>
        <w:rPr>
          <w:rFonts w:eastAsia="宋体" w:ascii="Times New Roman" w:hAnsi="Times New Roman" w:cs="Times New Roman"/>
          <w:b w:val="true"/>
          <w:i w:val="false"/>
          <w:sz w:val="22"/>
        </w:rPr>
        <w:t>业绩稳健性</w:t>
      </w:r>
      <w:r>
        <w:rPr>
          <w:rFonts w:eastAsia="宋体" w:ascii="Times New Roman" w:hAnsi="Times New Roman" w:cs="Times New Roman"/>
          <w:b w:val="false"/>
          <w:i w:val="false"/>
          <w:sz w:val="22"/>
        </w:rPr>
        <w:t>：2024年营收122.6亿元（+3.01%），归母净利51.55亿元（+6.80%）；2025年Q1净利润11.35亿元（+9.14%），在经济弱周期中彰显韧性</w:t>
      </w:r>
      <w:r>
        <w:rPr>
          <w:rFonts w:eastAsia="宋体" w:ascii="Times New Roman" w:hAnsi="Times New Roman" w:cs="Times New Roman"/>
          <w:b w:val="false"/>
          <w:i w:val="false"/>
          <w:sz w:val="22"/>
          <w:vertAlign w:val="superscript"/>
        </w:rPr>
        <w:t>[34]</w:t>
      </w:r>
      <w:r>
        <w:rPr>
          <w:rFonts w:eastAsia="宋体" w:ascii="Times New Roman" w:hAnsi="Times New Roman" w:cs="Times New Roman"/>
          <w:b w:val="false"/>
          <w:i w:val="false"/>
          <w:sz w:val="22"/>
        </w:rPr>
        <w:t>。高毛利业务结构（毛利率64.71%）与轻资产模式支撑强劲现金流，近五年经营性现金流累计358亿元，超同期净利润130亿元</w:t>
      </w:r>
      <w:r>
        <w:rPr>
          <w:rFonts w:eastAsia="宋体" w:ascii="Times New Roman" w:hAnsi="Times New Roman" w:cs="Times New Roman"/>
          <w:b w:val="false"/>
          <w:i w:val="false"/>
          <w:sz w:val="22"/>
          <w:vertAlign w:val="superscript"/>
        </w:rPr>
        <w:t>[122]</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2. </w:t>
      </w:r>
      <w:r>
        <w:rPr>
          <w:rFonts w:eastAsia="宋体" w:ascii="Times New Roman" w:hAnsi="Times New Roman" w:cs="Times New Roman"/>
          <w:b w:val="true"/>
          <w:i w:val="false"/>
          <w:sz w:val="22"/>
        </w:rPr>
        <w:t>股东回报承诺</w:t>
      </w:r>
      <w:r>
        <w:rPr>
          <w:rFonts w:eastAsia="宋体" w:ascii="Times New Roman" w:hAnsi="Times New Roman" w:cs="Times New Roman"/>
          <w:b w:val="false"/>
          <w:i w:val="false"/>
          <w:sz w:val="22"/>
        </w:rPr>
        <w:t xml:space="preserve">：公司执行“净利润50%+分红”政策，2025年前三季分红7.22亿元，并承诺2024-2026年分红比例不低于扣非净利润的80% </w:t>
      </w:r>
      <w:r>
        <w:rPr>
          <w:rFonts w:eastAsia="宋体" w:ascii="Times New Roman" w:hAnsi="Times New Roman" w:cs="Times New Roman"/>
          <w:b w:val="false"/>
          <w:i w:val="false"/>
          <w:sz w:val="22"/>
          <w:vertAlign w:val="superscript"/>
        </w:rPr>
        <w:t>[120]</w:t>
      </w:r>
      <w:r>
        <w:rPr>
          <w:rFonts w:eastAsia="宋体" w:ascii="Times New Roman" w:hAnsi="Times New Roman" w:cs="Times New Roman"/>
          <w:b w:val="false"/>
          <w:i w:val="false"/>
          <w:sz w:val="22"/>
        </w:rPr>
        <w:t>。按当前股价测算股息率超6.5%，形成“业绩增长-现金流充裕-分红反哺”的良性循环</w:t>
      </w:r>
      <w:r>
        <w:rPr>
          <w:rFonts w:eastAsia="宋体" w:ascii="Times New Roman" w:hAnsi="Times New Roman" w:cs="Times New Roman"/>
          <w:b w:val="false"/>
          <w:i w:val="false"/>
          <w:sz w:val="22"/>
          <w:vertAlign w:val="superscript"/>
        </w:rPr>
        <w:t>[123]</w:t>
      </w:r>
      <w:r>
        <w:rPr>
          <w:rFonts w:eastAsia="宋体" w:ascii="Times New Roman" w:hAnsi="Times New Roman" w:cs="Times New Roman"/>
          <w:b w:val="false"/>
          <w:i w:val="false"/>
          <w:sz w:val="22"/>
        </w:rPr>
        <w:t>。</w:t>
      </w:r>
    </w:p>
    <w:p>
      <w:pPr>
        <w:spacing w:line="240" w:lineRule="auto" w:before="120" w:after="120"/>
        <w:ind w:left="0"/>
        <w:jc w:val="left"/>
      </w:pPr>
      <w:r>
        <w:rPr>
          <w:rFonts w:eastAsia="宋体" w:ascii="Times New Roman" w:hAnsi="Times New Roman" w:cs="Times New Roman"/>
          <w:b w:val="false"/>
          <w:i w:val="false"/>
          <w:sz w:val="22"/>
        </w:rPr>
        <w:t xml:space="preserve">3. </w:t>
      </w:r>
      <w:r>
        <w:rPr>
          <w:rFonts w:eastAsia="宋体" w:ascii="Times New Roman" w:hAnsi="Times New Roman" w:cs="Times New Roman"/>
          <w:b w:val="true"/>
          <w:i w:val="false"/>
          <w:sz w:val="22"/>
        </w:rPr>
        <w:t>估值安全边际</w:t>
      </w:r>
      <w:r>
        <w:rPr>
          <w:rFonts w:eastAsia="宋体" w:ascii="Times New Roman" w:hAnsi="Times New Roman" w:cs="Times New Roman"/>
          <w:b w:val="false"/>
          <w:i w:val="false"/>
          <w:sz w:val="22"/>
        </w:rPr>
        <w:t>：当前20倍PE（TTM）、6.68倍PB处于历史低位</w:t>
      </w:r>
      <w:r>
        <w:rPr>
          <w:rFonts w:eastAsia="宋体" w:ascii="Times New Roman" w:hAnsi="Times New Roman" w:cs="Times New Roman"/>
          <w:b w:val="false"/>
          <w:i w:val="false"/>
          <w:sz w:val="22"/>
          <w:vertAlign w:val="superscript"/>
        </w:rPr>
        <w:t>[120]</w:t>
      </w:r>
      <w:r>
        <w:rPr>
          <w:rFonts w:eastAsia="宋体" w:ascii="Times New Roman" w:hAnsi="Times New Roman" w:cs="Times New Roman"/>
          <w:b w:val="false"/>
          <w:i w:val="false"/>
          <w:sz w:val="22"/>
        </w:rPr>
        <w:t>。机构目标价区间8.47-9.31元隐含15%-25%上行空间</w:t>
      </w:r>
      <w:r>
        <w:rPr>
          <w:rFonts w:eastAsia="宋体" w:ascii="Times New Roman" w:hAnsi="Times New Roman" w:cs="Times New Roman"/>
          <w:b w:val="false"/>
          <w:i w:val="false"/>
          <w:sz w:val="22"/>
          <w:vertAlign w:val="superscript"/>
        </w:rPr>
        <w:t>[99]</w:t>
      </w:r>
      <w:r>
        <w:rPr>
          <w:rFonts w:eastAsia="宋体" w:ascii="Times New Roman" w:hAnsi="Times New Roman" w:cs="Times New Roman"/>
          <w:b w:val="false"/>
          <w:i w:val="false"/>
          <w:sz w:val="22"/>
        </w:rPr>
        <w:t>。若并购协同效应充分释放，净利有望重返60亿元级别，对应PE降至14倍</w:t>
      </w:r>
      <w:r>
        <w:rPr>
          <w:rFonts w:eastAsia="宋体" w:ascii="Times New Roman" w:hAnsi="Times New Roman" w:cs="Times New Roman"/>
          <w:b w:val="false"/>
          <w:i w:val="false"/>
          <w:sz w:val="22"/>
          <w:vertAlign w:val="superscript"/>
        </w:rPr>
        <w:t>[124]</w:t>
      </w:r>
      <w:r>
        <w:rPr>
          <w:rFonts w:eastAsia="宋体" w:ascii="Times New Roman" w:hAnsi="Times New Roman" w:cs="Times New Roman"/>
          <w:b w:val="false"/>
          <w:i w:val="false"/>
          <w:sz w:val="22"/>
        </w:rPr>
        <w:t>。</w:t>
      </w:r>
    </w:p>
    <w:p>
      <w:pPr>
        <w:pStyle w:val="EM_H1_STYLE"/>
        <w:spacing w:line="240" w:lineRule="auto" w:before="600" w:after="120"/>
        <w:ind w:left="0"/>
        <w:jc w:val="left"/>
      </w:pPr>
      <w:r>
        <w:rPr>
          <w:rFonts w:eastAsia="宋体" w:ascii="宋体" w:hAnsi="宋体" w:cs="宋体"/>
          <w:b w:val="true"/>
          <w:i w:val="false"/>
          <w:sz w:val="36"/>
        </w:rPr>
        <w:t>参考来源</w:t>
      </w:r>
    </w:p>
    <w:p>
      <w:pPr>
        <w:spacing w:line="240" w:lineRule="auto" w:before="120" w:after="120"/>
        <w:ind w:left="0"/>
        <w:jc w:val="left"/>
      </w:pPr>
      <w:r>
        <w:rPr>
          <w:rFonts w:eastAsia="宋体" w:ascii="Times New Roman" w:hAnsi="Times New Roman" w:cs="Times New Roman"/>
          <w:b w:val="false"/>
          <w:i w:val="false"/>
          <w:sz w:val="22"/>
        </w:rPr>
        <w:t xml:space="preserve">[1] 分众传媒 | 2026-04-26 00:00:00 | (https://baike.sogou.com/v55447.htm) </w:t>
      </w:r>
    </w:p>
    <w:p>
      <w:pPr>
        <w:spacing w:line="240" w:lineRule="auto" w:before="120" w:after="120"/>
        <w:ind w:left="0"/>
        <w:jc w:val="left"/>
      </w:pPr>
      <w:r>
        <w:rPr>
          <w:rFonts w:eastAsia="宋体" w:ascii="Times New Roman" w:hAnsi="Times New Roman" w:cs="Times New Roman"/>
          <w:b w:val="false"/>
          <w:i w:val="false"/>
          <w:sz w:val="22"/>
        </w:rPr>
        <w:t xml:space="preserve">[2] 中国证券报-分众传媒信息技术股份有限公司 | 2026-03-31 00:00:00 | (https://epaper.cs.com.cn/zgzqb/html/2026-04/29/nw.D110000zgzqb_20260429_1-B837.htm) </w:t>
      </w:r>
    </w:p>
    <w:p>
      <w:pPr>
        <w:spacing w:line="240" w:lineRule="auto" w:before="120" w:after="120"/>
        <w:ind w:left="0"/>
        <w:jc w:val="left"/>
      </w:pPr>
      <w:r>
        <w:rPr>
          <w:rFonts w:eastAsia="宋体" w:ascii="Times New Roman" w:hAnsi="Times New Roman" w:cs="Times New Roman"/>
          <w:b w:val="false"/>
          <w:i w:val="false"/>
          <w:sz w:val="22"/>
        </w:rPr>
        <w:t xml:space="preserve">[3] 投资者关系 | 2025-04-29 00:00:00 | (https://www.focusmedia.cn/investorinfo/index) </w:t>
      </w:r>
    </w:p>
    <w:p>
      <w:pPr>
        <w:spacing w:line="240" w:lineRule="auto" w:before="120" w:after="120"/>
        <w:ind w:left="0"/>
        <w:jc w:val="left"/>
      </w:pPr>
      <w:r>
        <w:rPr>
          <w:rFonts w:eastAsia="宋体" w:ascii="Times New Roman" w:hAnsi="Times New Roman" w:cs="Times New Roman"/>
          <w:b w:val="false"/>
          <w:i w:val="false"/>
          <w:sz w:val="22"/>
        </w:rPr>
        <w:t xml:space="preserve">[4] 分众传媒的前世今生：营收127.59亿居行业榜首|持股|a股|江南春|知名企业_网易订阅 | 2026-04-29 06:36:22 | (https://www.163.com/dy/article/KRLO5CEP05568W0A.html) </w:t>
      </w:r>
    </w:p>
    <w:p>
      <w:pPr>
        <w:spacing w:line="240" w:lineRule="auto" w:before="120" w:after="120"/>
        <w:ind w:left="0"/>
        <w:jc w:val="left"/>
      </w:pPr>
      <w:r>
        <w:rPr>
          <w:rFonts w:eastAsia="宋体" w:ascii="Times New Roman" w:hAnsi="Times New Roman" w:cs="Times New Roman"/>
          <w:b w:val="false"/>
          <w:i w:val="false"/>
          <w:sz w:val="22"/>
        </w:rPr>
        <w:t xml:space="preserve">[5] 分众传媒的前世今生：营收127.59亿居行业榜首，负债率27.71%低于平均，毛利率70.48%远超同行|分众传媒|毛利率|江南春|大流通股东|电梯_新浪新闻 | 2026-04-29 06:36:00 | (https://k.sina.com.cn/article_5952915705_162d248f906702uzj6.html) </w:t>
      </w:r>
    </w:p>
    <w:p>
      <w:pPr>
        <w:spacing w:line="240" w:lineRule="auto" w:before="120" w:after="120"/>
        <w:ind w:left="0"/>
        <w:jc w:val="left"/>
      </w:pPr>
      <w:r>
        <w:rPr>
          <w:rFonts w:eastAsia="宋体" w:ascii="Times New Roman" w:hAnsi="Times New Roman" w:cs="Times New Roman"/>
          <w:b w:val="false"/>
          <w:i w:val="false"/>
          <w:sz w:val="22"/>
        </w:rPr>
        <w:t xml:space="preserve">[6] 分众传媒入选《时代》2026年“亚太地区最佳企业” | 2026-03-11 15:14:37 </w:t>
      </w:r>
    </w:p>
    <w:p>
      <w:pPr>
        <w:spacing w:line="240" w:lineRule="auto" w:before="120" w:after="120"/>
        <w:ind w:left="0"/>
        <w:jc w:val="left"/>
      </w:pPr>
      <w:r>
        <w:rPr>
          <w:rFonts w:eastAsia="宋体" w:ascii="Times New Roman" w:hAnsi="Times New Roman" w:cs="Times New Roman"/>
          <w:b w:val="false"/>
          <w:i w:val="false"/>
          <w:sz w:val="22"/>
        </w:rPr>
        <w:t xml:space="preserve">[7] 公司深度报告：基本盘稳固，格局优化+“碰一碰”开启成长新周期 | 2026-03-24 00:00:00 | (http://np-annrep-corpus.em/pdf/H3_AP202603251820742741_1.pdf) </w:t>
      </w:r>
    </w:p>
    <w:p>
      <w:pPr>
        <w:spacing w:line="240" w:lineRule="auto" w:before="120" w:after="120"/>
        <w:ind w:left="0"/>
        <w:jc w:val="left"/>
      </w:pPr>
      <w:r>
        <w:rPr>
          <w:rFonts w:eastAsia="宋体" w:ascii="Times New Roman" w:hAnsi="Times New Roman" w:cs="Times New Roman"/>
          <w:b w:val="false"/>
          <w:i w:val="false"/>
          <w:sz w:val="22"/>
        </w:rPr>
        <w:t xml:space="preserve">[8] 分众传媒真能做到精准投放吗？解密＂四可体系＂如何实现可归因可优化|界面新闻 | 2026-02-09 15:16:00 | (https://www.jiemian.com/article/13994866.html) </w:t>
      </w:r>
    </w:p>
    <w:p>
      <w:pPr>
        <w:spacing w:line="240" w:lineRule="auto" w:before="120" w:after="120"/>
        <w:ind w:left="0"/>
        <w:jc w:val="left"/>
      </w:pPr>
      <w:r>
        <w:rPr>
          <w:rFonts w:eastAsia="宋体" w:ascii="Times New Roman" w:hAnsi="Times New Roman" w:cs="Times New Roman"/>
          <w:b w:val="false"/>
          <w:i w:val="false"/>
          <w:sz w:val="22"/>
        </w:rPr>
        <w:t xml:space="preserve">[9] 财报快递｜分众传媒(002027)2025年度增收不增利，净利骤降近43%，资产减值超21亿_股票频道_证券之星 | 2026-04-29 07:38:19 | (https://stock.stockstar.com/RB2026042900023284.shtml) </w:t>
      </w:r>
    </w:p>
    <w:p>
      <w:pPr>
        <w:spacing w:line="240" w:lineRule="auto" w:before="120" w:after="120"/>
        <w:ind w:left="0"/>
        <w:jc w:val="left"/>
      </w:pPr>
      <w:r>
        <w:rPr>
          <w:rFonts w:eastAsia="宋体" w:ascii="Times New Roman" w:hAnsi="Times New Roman" w:cs="Times New Roman"/>
          <w:b w:val="false"/>
          <w:i w:val="false"/>
          <w:sz w:val="22"/>
        </w:rPr>
        <w:t xml:space="preserve">[10] 分众传媒2025年董事会工作报告：聚焦并购重组及稳定分红_新浪财经_新浪网 | 2026-04-29 09:00:00 | (https://finance.sina.com.cn/roll/2026-04-29/doc-inhwckrh8059684.shtml) </w:t>
      </w:r>
    </w:p>
    <w:p>
      <w:pPr>
        <w:spacing w:line="240" w:lineRule="auto" w:before="120" w:after="120"/>
        <w:ind w:left="0"/>
        <w:jc w:val="left"/>
      </w:pPr>
      <w:r>
        <w:rPr>
          <w:rFonts w:eastAsia="宋体" w:ascii="Times New Roman" w:hAnsi="Times New Roman" w:cs="Times New Roman"/>
          <w:b w:val="false"/>
          <w:i w:val="false"/>
          <w:sz w:val="22"/>
        </w:rPr>
        <w:t xml:space="preserve">[11] 分众传媒年营收128亿：净利29亿同比降43% 江南春获派息6.5亿 - 今日头条Loading. | 2026-04-29 02:08:00 | (https://www.toutiao.com/article/7633873632040665626) </w:t>
      </w:r>
    </w:p>
    <w:p>
      <w:pPr>
        <w:spacing w:line="240" w:lineRule="auto" w:before="120" w:after="120"/>
        <w:ind w:left="0"/>
        <w:jc w:val="left"/>
      </w:pPr>
      <w:r>
        <w:rPr>
          <w:rFonts w:eastAsia="宋体" w:ascii="Times New Roman" w:hAnsi="Times New Roman" w:cs="Times New Roman"/>
          <w:b w:val="false"/>
          <w:i w:val="false"/>
          <w:sz w:val="22"/>
        </w:rPr>
        <w:t xml:space="preserve">[12] 分众上半年营收61亿：净利26.65亿 派发现金红利14亿 江南春获3.4亿 | 2025-08-30 05:41:00 | (https://baijiahao.baidu.com/s?id=1841827617139276022) </w:t>
      </w:r>
    </w:p>
    <w:p>
      <w:pPr>
        <w:spacing w:line="240" w:lineRule="auto" w:before="120" w:after="120"/>
        <w:ind w:left="0"/>
        <w:jc w:val="left"/>
      </w:pPr>
      <w:r>
        <w:rPr>
          <w:rFonts w:eastAsia="宋体" w:ascii="Times New Roman" w:hAnsi="Times New Roman" w:cs="Times New Roman"/>
          <w:b w:val="false"/>
          <w:i w:val="false"/>
          <w:sz w:val="22"/>
        </w:rPr>
        <w:t xml:space="preserve">[13] 分众第三季营收35亿：净利15.8亿 江南春一年获分红超10亿 | 2025-10-31 16:57:07 | (https://www.163.com/dy/article/KD2HCHAG0511A0EF.html) </w:t>
      </w:r>
    </w:p>
    <w:p>
      <w:pPr>
        <w:spacing w:line="240" w:lineRule="auto" w:before="120" w:after="120"/>
        <w:ind w:left="0"/>
        <w:jc w:val="left"/>
      </w:pPr>
      <w:r>
        <w:rPr>
          <w:rFonts w:eastAsia="宋体" w:ascii="Times New Roman" w:hAnsi="Times New Roman" w:cs="Times New Roman"/>
          <w:b w:val="false"/>
          <w:i w:val="false"/>
          <w:sz w:val="22"/>
        </w:rPr>
        <w:t xml:space="preserve">[14] 分众传媒信息技术股份有限公司关于对子公司增资暨关联交易完成的公告|上海证券报 | 2025-11-29 00:00:00 | (https://paper.cnstock.com/html/2025-11/29/content_2151989.htm) </w:t>
      </w:r>
    </w:p>
    <w:p>
      <w:pPr>
        <w:spacing w:line="240" w:lineRule="auto" w:before="120" w:after="120"/>
        <w:ind w:left="0"/>
        <w:jc w:val="left"/>
      </w:pPr>
      <w:r>
        <w:rPr>
          <w:rFonts w:eastAsia="宋体" w:ascii="Times New Roman" w:hAnsi="Times New Roman" w:cs="Times New Roman"/>
          <w:b w:val="false"/>
          <w:i w:val="false"/>
          <w:sz w:val="22"/>
        </w:rPr>
        <w:t xml:space="preserve">[15] 分众传媒4月24日获融资买入5470.85万元，融资余额17.84亿元_方面_投资_持股 | 2026-04-27 09:07:00 | (https://www.sohu.com/a/1015022020_122014422) </w:t>
      </w:r>
    </w:p>
    <w:p>
      <w:pPr>
        <w:spacing w:line="240" w:lineRule="auto" w:before="120" w:after="120"/>
        <w:ind w:left="0"/>
        <w:jc w:val="left"/>
      </w:pPr>
      <w:r>
        <w:rPr>
          <w:rFonts w:eastAsia="宋体" w:ascii="Times New Roman" w:hAnsi="Times New Roman" w:cs="Times New Roman"/>
          <w:b w:val="false"/>
          <w:i w:val="false"/>
          <w:sz w:val="22"/>
        </w:rPr>
        <w:t xml:space="preserve">[16] 分众2024年营收123亿：净利52亿，派息33亿，江南春获8亿-CSDN博客 | 2025-05-14 22:38:13 | (https://blog.csdn.net/leijianping_ce/article/details/147830291) </w:t>
      </w:r>
    </w:p>
    <w:p>
      <w:pPr>
        <w:spacing w:line="240" w:lineRule="auto" w:before="120" w:after="120"/>
        <w:ind w:left="0"/>
        <w:jc w:val="left"/>
      </w:pPr>
      <w:r>
        <w:rPr>
          <w:rFonts w:eastAsia="宋体" w:ascii="Times New Roman" w:hAnsi="Times New Roman" w:cs="Times New Roman"/>
          <w:b w:val="false"/>
          <w:i w:val="false"/>
          <w:sz w:val="22"/>
        </w:rPr>
        <w:t xml:space="preserve">[17] 电梯媒体巨头分众传媒暗藏什么风险？ | 2025-10-14 08:57:00 | (https://mp.weixin.qq.com/s/-dKqC5II4Y8YY8aa3nKxiQ) </w:t>
      </w:r>
    </w:p>
    <w:p>
      <w:pPr>
        <w:spacing w:line="240" w:lineRule="auto" w:before="120" w:after="120"/>
        <w:ind w:left="0"/>
        <w:jc w:val="left"/>
      </w:pPr>
      <w:r>
        <w:rPr>
          <w:rFonts w:eastAsia="宋体" w:ascii="Times New Roman" w:hAnsi="Times New Roman" w:cs="Times New Roman"/>
          <w:b w:val="false"/>
          <w:i w:val="false"/>
          <w:sz w:val="22"/>
        </w:rPr>
        <w:t xml:space="preserve">[18] 分众传媒宣布数禾回购股份，深度解析股权结构调整的背后_市场_公司_未来 | 2026-01-23 23:54:00 | (https://www.sohu.com/a/979428740_122066678) </w:t>
      </w:r>
    </w:p>
    <w:p>
      <w:pPr>
        <w:spacing w:line="240" w:lineRule="auto" w:before="120" w:after="120"/>
        <w:ind w:left="0"/>
        <w:jc w:val="left"/>
      </w:pPr>
      <w:r>
        <w:rPr>
          <w:rFonts w:eastAsia="宋体" w:ascii="Times New Roman" w:hAnsi="Times New Roman" w:cs="Times New Roman"/>
          <w:b w:val="false"/>
          <w:i w:val="false"/>
          <w:sz w:val="22"/>
        </w:rPr>
        <w:t xml:space="preserve">[19] 分众传媒清仓数禾科技：十年投资的盈利与阵痛，助贷行业洗牌缩影|银行相关基金|深交所|估值|资金|股权_新浪新闻 | 2026-02-10 17:39:00 | (https://k.sina.com.cn/article_7857201856_1d45362c0019029aj8.html) </w:t>
      </w:r>
    </w:p>
    <w:p>
      <w:pPr>
        <w:spacing w:line="240" w:lineRule="auto" w:before="120" w:after="120"/>
        <w:ind w:left="0"/>
        <w:jc w:val="left"/>
      </w:pPr>
      <w:r>
        <w:rPr>
          <w:rFonts w:eastAsia="宋体" w:ascii="Times New Roman" w:hAnsi="Times New Roman" w:cs="Times New Roman"/>
          <w:b w:val="false"/>
          <w:i w:val="false"/>
          <w:sz w:val="22"/>
        </w:rPr>
        <w:t xml:space="preserve">[20] 分众传媒信息技术股份有限公司 2025年度利润分配方案及2026年中期利润分配规划_审核_系统_媒体 | 2026-04-29 00:00:00 | (https://www.sohu.com/a/1015972693_120988533) </w:t>
      </w:r>
    </w:p>
    <w:p>
      <w:pPr>
        <w:spacing w:line="240" w:lineRule="auto" w:before="120" w:after="120"/>
        <w:ind w:left="0"/>
        <w:jc w:val="left"/>
      </w:pPr>
      <w:r>
        <w:rPr>
          <w:rFonts w:eastAsia="宋体" w:ascii="Times New Roman" w:hAnsi="Times New Roman" w:cs="Times New Roman"/>
          <w:b w:val="false"/>
          <w:i w:val="false"/>
          <w:sz w:val="22"/>
        </w:rPr>
        <w:t xml:space="preserve">[21] 中国证券报-分众传媒信息技术股份有限公司&lt;BR/&gt;2025年度利润分配方案及2026年中期利润分配规划 | 2026-04-29 00:00:00 | (https://epaper.cs.com.cn/zgzqb/html/2026-04/29/nw.D110000zgzqb_20260429_1-B838.htm) </w:t>
      </w:r>
    </w:p>
    <w:p>
      <w:pPr>
        <w:spacing w:line="240" w:lineRule="auto" w:before="120" w:after="120"/>
        <w:ind w:left="0"/>
        <w:jc w:val="left"/>
      </w:pPr>
      <w:r>
        <w:rPr>
          <w:rFonts w:eastAsia="宋体" w:ascii="Times New Roman" w:hAnsi="Times New Roman" w:cs="Times New Roman"/>
          <w:b w:val="false"/>
          <w:i w:val="false"/>
          <w:sz w:val="22"/>
        </w:rPr>
        <w:t xml:space="preserve">[22] 分众传媒信息技术股份有限公司2024年年度报告摘要 | 2025-04-29 00:00:00 | (https://paper.cnstock.com/html/2025-04/29/content_2058925.htm) </w:t>
      </w:r>
    </w:p>
    <w:p>
      <w:pPr>
        <w:spacing w:line="240" w:lineRule="auto" w:before="120" w:after="120"/>
        <w:ind w:left="0"/>
        <w:jc w:val="left"/>
      </w:pPr>
      <w:r>
        <w:rPr>
          <w:rFonts w:eastAsia="宋体" w:ascii="Times New Roman" w:hAnsi="Times New Roman" w:cs="Times New Roman"/>
          <w:b w:val="false"/>
          <w:i w:val="false"/>
          <w:sz w:val="22"/>
        </w:rPr>
        <w:t xml:space="preserve">[23] 这家公司，市占率绝对领先，业绩持续修复 | 2026-02-23 23:00:00 | (https://mp.weixin.qq.com/s/cmowRo9s1q2fz2NugWKxIA) </w:t>
      </w:r>
    </w:p>
    <w:p>
      <w:pPr>
        <w:spacing w:line="240" w:lineRule="auto" w:before="120" w:after="120"/>
        <w:ind w:left="0"/>
        <w:jc w:val="left"/>
      </w:pPr>
      <w:r>
        <w:rPr>
          <w:rFonts w:eastAsia="宋体" w:ascii="Times New Roman" w:hAnsi="Times New Roman" w:cs="Times New Roman"/>
          <w:b w:val="false"/>
          <w:i w:val="false"/>
          <w:sz w:val="22"/>
        </w:rPr>
        <w:t xml:space="preserve">[24] 分众传媒 | 2026-03-12 11:58:10 | (https://baike.baidu.com/item/%E5%88%86%E4%BC%97%E4%BC%A0%E5%AA%92) </w:t>
      </w:r>
    </w:p>
    <w:p>
      <w:pPr>
        <w:spacing w:line="240" w:lineRule="auto" w:before="120" w:after="120"/>
        <w:ind w:left="0"/>
        <w:jc w:val="left"/>
      </w:pPr>
      <w:r>
        <w:rPr>
          <w:rFonts w:eastAsia="宋体" w:ascii="Times New Roman" w:hAnsi="Times New Roman" w:cs="Times New Roman"/>
          <w:b w:val="false"/>
          <w:i w:val="false"/>
          <w:sz w:val="22"/>
        </w:rPr>
        <w:t xml:space="preserve">[25] 分众传媒拟83.43亿元收购新潮传媒，强化社区媒体网络布局|股权|交易|知名企业_网易订阅 | 2026-03-04 00:42:19 | (https://www.163.com/dy/article/KN4TKRVV052184FQ.html) </w:t>
      </w:r>
    </w:p>
    <w:p>
      <w:pPr>
        <w:spacing w:line="240" w:lineRule="auto" w:before="120" w:after="120"/>
        <w:ind w:left="0"/>
        <w:jc w:val="left"/>
      </w:pPr>
      <w:r>
        <w:rPr>
          <w:rFonts w:eastAsia="宋体" w:ascii="Times New Roman" w:hAnsi="Times New Roman" w:cs="Times New Roman"/>
          <w:b w:val="false"/>
          <w:i w:val="false"/>
          <w:sz w:val="22"/>
        </w:rPr>
        <w:t xml:space="preserve">[26] 分众传媒2024年财报：稳健增长背后的隐忧 | 2025-05-04 05:56:10 | (https://finance.jrj.com.cn/2025/05/04055650122958.shtml) </w:t>
      </w:r>
    </w:p>
    <w:p>
      <w:pPr>
        <w:spacing w:line="240" w:lineRule="auto" w:before="120" w:after="120"/>
        <w:ind w:left="0"/>
        <w:jc w:val="left"/>
      </w:pPr>
      <w:r>
        <w:rPr>
          <w:rFonts w:eastAsia="宋体" w:ascii="Times New Roman" w:hAnsi="Times New Roman" w:cs="Times New Roman"/>
          <w:b w:val="false"/>
          <w:i w:val="false"/>
          <w:sz w:val="22"/>
        </w:rPr>
        <w:t xml:space="preserve"><![CDATA[[27] 分众传媒退出上海数禾：短期账面承压，长期聚焦主业 | 2026-01-24 20:15:00 | (http://mp.weixin.qq.com/s?__biz=MzAxMjEyOTYwMQ==&mid=2649995393&idx=1&sn=f74672b385b966ceb43d468f97a06630&chksm=82e391df03bd64f845b0f4a7a1976fd78bcf84b47de50dba04de2ddc8305ef79444b261d7ce6&scene=0&xtrack=1#rd) ]]></w:t>
      </w:r>
    </w:p>
    <w:p>
      <w:pPr>
        <w:spacing w:line="240" w:lineRule="auto" w:before="120" w:after="120"/>
        <w:ind w:left="0"/>
        <w:jc w:val="left"/>
      </w:pPr>
      <w:r>
        <w:rPr>
          <w:rFonts w:eastAsia="宋体" w:ascii="Times New Roman" w:hAnsi="Times New Roman" w:cs="Times New Roman"/>
          <w:b w:val="false"/>
          <w:i w:val="false"/>
          <w:sz w:val="22"/>
        </w:rPr>
        <w:t xml:space="preserve">[28] 分众传媒2024年财报：稳健增长彰显韧性 深化布局领航未来 | 2025-04-29 14:08:00 | (https://www.news.cn/enterprise/20250429/ac9abf1909044681b4dcd3f88560157d/c.html) </w:t>
      </w:r>
    </w:p>
    <w:p>
      <w:pPr>
        <w:spacing w:line="240" w:lineRule="auto" w:before="120" w:after="120"/>
        <w:ind w:left="0"/>
        <w:jc w:val="left"/>
      </w:pPr>
      <w:r>
        <w:rPr>
          <w:rFonts w:eastAsia="宋体" w:ascii="Times New Roman" w:hAnsi="Times New Roman" w:cs="Times New Roman"/>
          <w:b w:val="false"/>
          <w:i w:val="false"/>
          <w:sz w:val="22"/>
        </w:rPr>
        <w:t xml:space="preserve">[29] 83亿元的“强强联合”，分众传媒（002027.SZ）历时近4个月的收购事项落幕！ | 2025-08-07 15:57:56 </w:t>
      </w:r>
    </w:p>
    <w:p>
      <w:pPr>
        <w:spacing w:line="240" w:lineRule="auto" w:before="120" w:after="120"/>
        <w:ind w:left="0"/>
        <w:jc w:val="left"/>
      </w:pPr>
      <w:r>
        <w:rPr>
          <w:rFonts w:eastAsia="宋体" w:ascii="Times New Roman" w:hAnsi="Times New Roman" w:cs="Times New Roman"/>
          <w:b w:val="false"/>
          <w:i w:val="false"/>
          <w:sz w:val="22"/>
        </w:rPr>
        <w:t xml:space="preserve">[30] 2026中国户外传媒十大品牌深度解读：分众传媒领跑行业，市场格局清晰呈现_腾讯新闻 | 2026-04-14 15:27:00 | (https://news.qq.com/rain/a/20260414A04WVS00) </w:t>
      </w:r>
    </w:p>
    <w:p>
      <w:pPr>
        <w:spacing w:line="240" w:lineRule="auto" w:before="120" w:after="120"/>
        <w:ind w:left="0"/>
        <w:jc w:val="left"/>
      </w:pPr>
      <w:r>
        <w:rPr>
          <w:rFonts w:eastAsia="宋体" w:ascii="Times New Roman" w:hAnsi="Times New Roman" w:cs="Times New Roman"/>
          <w:b w:val="false"/>
          <w:i w:val="false"/>
          <w:sz w:val="22"/>
        </w:rPr>
        <w:t xml:space="preserve">[31] 2026中国户外视频广告行业趋势：市场格局与品牌排名全解析|营销行业洞察|品牌排名榜单|行业趋势分析|中国广告市场|分众传媒_新浪新闻 | 2026-04-14 15:09:00 | (https://k.sina.com.cn/article_2250602754_8625790200101q3vc.html) </w:t>
      </w:r>
    </w:p>
    <w:p>
      <w:pPr>
        <w:spacing w:line="240" w:lineRule="auto" w:before="120" w:after="120"/>
        <w:ind w:left="0"/>
        <w:jc w:val="left"/>
      </w:pPr>
      <w:r>
        <w:rPr>
          <w:rFonts w:eastAsia="宋体" w:ascii="Times New Roman" w:hAnsi="Times New Roman" w:cs="Times New Roman"/>
          <w:b w:val="false"/>
          <w:i w:val="false"/>
          <w:sz w:val="22"/>
        </w:rPr>
        <w:t xml:space="preserve">[32] 分众传媒入选《时代》2026年“亚太地区最佳企业”，成为唯一上榜中国户外媒体公司 | 2026-02-25 08:31:00 | (https://mp.weixin.qq.com/s/KI9r-ECEdtionKj1sgyPwA) </w:t>
      </w:r>
    </w:p>
    <w:p>
      <w:pPr>
        <w:spacing w:line="240" w:lineRule="auto" w:before="120" w:after="120"/>
        <w:ind w:left="0"/>
        <w:jc w:val="left"/>
      </w:pPr>
      <w:r>
        <w:rPr>
          <w:rFonts w:eastAsia="宋体" w:ascii="Times New Roman" w:hAnsi="Times New Roman" w:cs="Times New Roman"/>
          <w:b w:val="false"/>
          <w:i w:val="false"/>
          <w:sz w:val="22"/>
        </w:rPr>
        <w:t xml:space="preserve">[33] 从数禾退出看分众传媒：减值背后的现金流收益与主业韧性 | 2026-01-24 16:16:29 | (https://www.sohu.com/a/979613663_122574406) </w:t>
      </w:r>
    </w:p>
    <w:p>
      <w:pPr>
        <w:spacing w:line="240" w:lineRule="auto" w:before="120" w:after="120"/>
        <w:ind w:left="0"/>
        <w:jc w:val="left"/>
      </w:pPr>
      <w:r>
        <w:rPr>
          <w:rFonts w:eastAsia="宋体" w:ascii="Times New Roman" w:hAnsi="Times New Roman" w:cs="Times New Roman"/>
          <w:b w:val="false"/>
          <w:i w:val="false"/>
          <w:sz w:val="22"/>
        </w:rPr>
        <w:t xml:space="preserve">[34] 发生了什么？133家机构蜂拥调研分众传媒 | 2025-04-30 16:01:00 | (https://www.cls.cn/detail/xk/93fe90054e568885c8dbca5a26141629) </w:t>
      </w:r>
    </w:p>
    <w:p>
      <w:pPr>
        <w:spacing w:line="240" w:lineRule="auto" w:before="120" w:after="120"/>
        <w:ind w:left="0"/>
        <w:jc w:val="left"/>
      </w:pPr>
      <w:r>
        <w:rPr>
          <w:rFonts w:eastAsia="宋体" w:ascii="Times New Roman" w:hAnsi="Times New Roman" w:cs="Times New Roman"/>
          <w:b w:val="false"/>
          <w:i w:val="false"/>
          <w:sz w:val="22"/>
        </w:rPr>
        <w:t xml:space="preserve">[35] 产业变革和科技浪潮的“卖铲人” | 2025-08-06 00:00:00 | (http://np-annrep-corpus.em/pdf/H3_AP202508071723246338_1.pdf) </w:t>
      </w:r>
    </w:p>
    <w:p>
      <w:pPr>
        <w:spacing w:line="240" w:lineRule="auto" w:before="120" w:after="120"/>
        <w:ind w:left="0"/>
        <w:jc w:val="left"/>
      </w:pPr>
      <w:r>
        <w:rPr>
          <w:rFonts w:eastAsia="宋体" w:ascii="Times New Roman" w:hAnsi="Times New Roman" w:cs="Times New Roman"/>
          <w:b w:val="false"/>
          <w:i w:val="false"/>
          <w:sz w:val="22"/>
        </w:rPr>
        <w:t xml:space="preserve">[36] 分众传媒2024年财报：稳健增长彰显韧性 深化布局领航未来 | 2025-04-29 16:16:41 </w:t>
      </w:r>
    </w:p>
    <w:p>
      <w:pPr>
        <w:spacing w:line="240" w:lineRule="auto" w:before="120" w:after="120"/>
        <w:ind w:left="0"/>
        <w:jc w:val="left"/>
      </w:pPr>
      <w:r>
        <w:rPr>
          <w:rFonts w:eastAsia="宋体" w:ascii="Times New Roman" w:hAnsi="Times New Roman" w:cs="Times New Roman"/>
          <w:b w:val="false"/>
          <w:i w:val="false"/>
          <w:sz w:val="22"/>
        </w:rPr>
        <w:t xml:space="preserve">[37] 分众传媒2024年的发展密码：经营壁垒坚实稳固 助力国牌出海 | 2025-04-30 10:37:00 | (http://www.eeo.com.cn/2025/0430/724499.shtml) </w:t>
      </w:r>
    </w:p>
    <w:p>
      <w:pPr>
        <w:spacing w:line="240" w:lineRule="auto" w:before="120" w:after="120"/>
        <w:ind w:left="0"/>
        <w:jc w:val="left"/>
      </w:pPr>
      <w:r>
        <w:rPr>
          <w:rFonts w:eastAsia="宋体" w:ascii="Times New Roman" w:hAnsi="Times New Roman" w:cs="Times New Roman"/>
          <w:b w:val="false"/>
          <w:i w:val="false"/>
          <w:sz w:val="22"/>
        </w:rPr>
        <w:t xml:space="preserve">[38] 看好格局优化及单点盈利提升，支付宝“碰一碰”有望带来增量 | 2025-06-30 00:00:00 | (http://np-annrep-corpus.em/pdf/H3_AP202507011700942173_1.pdf) </w:t>
      </w:r>
    </w:p>
    <w:p>
      <w:pPr>
        <w:spacing w:line="240" w:lineRule="auto" w:before="120" w:after="120"/>
        <w:ind w:left="0"/>
        <w:jc w:val="left"/>
      </w:pPr>
      <w:r>
        <w:rPr>
          <w:rFonts w:eastAsia="宋体" w:ascii="Times New Roman" w:hAnsi="Times New Roman" w:cs="Times New Roman"/>
          <w:b w:val="false"/>
          <w:i w:val="false"/>
          <w:sz w:val="22"/>
        </w:rPr>
        <w:t xml:space="preserve">[39] 分众传媒深度报告：生活圈媒体龙头，碰一下+出海支撑第二增长曲线 | 2025-12-30 00:00:00 | (http://np-annrep-corpus.em/pdf/H3_AP202512301811312177_1.pdf) </w:t>
      </w:r>
    </w:p>
    <w:p>
      <w:pPr>
        <w:spacing w:line="240" w:lineRule="auto" w:before="120" w:after="120"/>
        <w:ind w:left="0"/>
        <w:jc w:val="left"/>
      </w:pPr>
      <w:r>
        <w:rPr>
          <w:rFonts w:eastAsia="宋体" w:ascii="Times New Roman" w:hAnsi="Times New Roman" w:cs="Times New Roman"/>
          <w:b w:val="false"/>
          <w:i w:val="false"/>
          <w:sz w:val="22"/>
        </w:rPr>
        <w:t xml:space="preserve">[40] 展望新的行业前景—电梯媒体400+玩家共筑多元赛道 | 2026-04-17 08:11:30 | (https://m.163.com/dy/article/KQLED9F90525F477.html) </w:t>
      </w:r>
    </w:p>
    <w:p>
      <w:pPr>
        <w:spacing w:line="240" w:lineRule="auto" w:before="120" w:after="120"/>
        <w:ind w:left="0"/>
        <w:jc w:val="left"/>
      </w:pPr>
      <w:r>
        <w:rPr>
          <w:rFonts w:eastAsia="宋体" w:ascii="Times New Roman" w:hAnsi="Times New Roman" w:cs="Times New Roman"/>
          <w:b w:val="false"/>
          <w:i w:val="false"/>
          <w:sz w:val="22"/>
        </w:rPr>
        <w:t xml:space="preserve">[41] 2026年广告如何实现破圈传播？答案是高频曝光场景_腾讯新闻 | 2026-04-21 10:48:00 | (https://news.qq.com/rain/a/20260421A0310J00) </w:t>
      </w:r>
    </w:p>
    <w:p>
      <w:pPr>
        <w:spacing w:line="240" w:lineRule="auto" w:before="120" w:after="120"/>
        <w:ind w:left="0"/>
        <w:jc w:val="left"/>
      </w:pPr>
      <w:r>
        <w:rPr>
          <w:rFonts w:eastAsia="宋体" w:ascii="Times New Roman" w:hAnsi="Times New Roman" w:cs="Times New Roman"/>
          <w:b w:val="false"/>
          <w:i w:val="false"/>
          <w:sz w:val="22"/>
        </w:rPr>
        <w:t xml:space="preserve">[42] 分众传媒入选《时代》2026年“亚太地区最佳企业”，成为唯一上榜中国户外媒体公司 - 经济观察网 － 专业财经新闻网站 | 2026-02-28 14:34:00 | (https://www.eeo.com.cn/2026/0228/802948.shtml) </w:t>
      </w:r>
    </w:p>
    <w:p>
      <w:pPr>
        <w:spacing w:line="240" w:lineRule="auto" w:before="120" w:after="120"/>
        <w:ind w:left="0"/>
        <w:jc w:val="left"/>
      </w:pPr>
      <w:r>
        <w:rPr>
          <w:rFonts w:eastAsia="宋体" w:ascii="Times New Roman" w:hAnsi="Times New Roman" w:cs="Times New Roman"/>
          <w:b w:val="false"/>
          <w:i w:val="false"/>
          <w:sz w:val="22"/>
        </w:rPr>
        <w:t xml:space="preserve">[43] 中泰证券：AI消费时代营销策略向“ACO×品牌力”演进 品牌广告迎来价值重估 | 2026-04-20 14:10:26 | (http://www.zhitongcaijing.com/content/detail/1430558.html) </w:t>
      </w:r>
    </w:p>
    <w:p>
      <w:pPr>
        <w:spacing w:line="240" w:lineRule="auto" w:before="120" w:after="120"/>
        <w:ind w:left="0"/>
        <w:jc w:val="left"/>
      </w:pPr>
      <w:r>
        <w:rPr>
          <w:rFonts w:eastAsia="宋体" w:ascii="Times New Roman" w:hAnsi="Times New Roman" w:cs="Times New Roman"/>
          <w:b w:val="false"/>
          <w:i w:val="false"/>
          <w:sz w:val="22"/>
        </w:rPr>
        <w:t xml:space="preserve">[44] 83亿元的“强强联合”，分众传媒（002027.SZ）历时近4个月的收购事项落幕！ | 2025-08-06 00:00:00 | (https://m.jiemian.com/article/13144934.html) </w:t>
      </w:r>
    </w:p>
    <w:p>
      <w:pPr>
        <w:spacing w:line="240" w:lineRule="auto" w:before="120" w:after="120"/>
        <w:ind w:left="0"/>
        <w:jc w:val="left"/>
      </w:pPr>
      <w:r>
        <w:rPr>
          <w:rFonts w:eastAsia="宋体" w:ascii="Times New Roman" w:hAnsi="Times New Roman" w:cs="Times New Roman"/>
          <w:b w:val="false"/>
          <w:i w:val="false"/>
          <w:sz w:val="22"/>
        </w:rPr>
        <w:t xml:space="preserve">[45] 电梯媒体走到哪一步了？从分众收购新潮说起 | 2026-04-16 22:38:55 | (http://view.inews.qq.com/k/20260416A063B300?openApp=false&amp;web_channel=wap) </w:t>
      </w:r>
    </w:p>
    <w:p>
      <w:pPr>
        <w:spacing w:line="240" w:lineRule="auto" w:before="120" w:after="120"/>
        <w:ind w:left="0"/>
        <w:jc w:val="left"/>
      </w:pPr>
      <w:r>
        <w:rPr>
          <w:rFonts w:eastAsia="宋体" w:ascii="Times New Roman" w:hAnsi="Times New Roman" w:cs="Times New Roman"/>
          <w:b w:val="false"/>
          <w:i w:val="false"/>
          <w:sz w:val="22"/>
        </w:rPr>
        <w:t xml:space="preserve">[46] “碰一碰”业务助力分众广告巨头实现效果广告大转型 | 2025-08-12 00:00:00 | (http://np-annrep-corpus.em/pdf/H3_AP202508121726286521_1.pdf) </w:t>
      </w:r>
    </w:p>
    <w:p>
      <w:pPr>
        <w:spacing w:line="240" w:lineRule="auto" w:before="120" w:after="120"/>
        <w:ind w:left="0"/>
        <w:jc w:val="left"/>
      </w:pPr>
      <w:r>
        <w:rPr>
          <w:rFonts w:eastAsia="宋体" w:ascii="Times New Roman" w:hAnsi="Times New Roman" w:cs="Times New Roman"/>
          <w:b w:val="false"/>
          <w:i w:val="false"/>
          <w:sz w:val="22"/>
        </w:rPr>
        <w:t xml:space="preserve">[47] 电梯媒体投放如何选？Rokid智能眼镜用分众传媒突破认知鸿沟 - 今日头条 | 2026-02-10 14:26:00 | (https://www.toutiao.com/article/7605119152243704326) </w:t>
      </w:r>
    </w:p>
    <w:p>
      <w:pPr>
        <w:spacing w:line="240" w:lineRule="auto" w:before="120" w:after="120"/>
        <w:ind w:left="0"/>
        <w:jc w:val="left"/>
      </w:pPr>
      <w:r>
        <w:rPr>
          <w:rFonts w:eastAsia="宋体" w:ascii="Times New Roman" w:hAnsi="Times New Roman" w:cs="Times New Roman"/>
          <w:b w:val="false"/>
          <w:i w:val="false"/>
          <w:sz w:val="22"/>
        </w:rPr>
        <w:t xml:space="preserve">[48] 分众传媒×鲸裕清酒重磅携手 | 中心化媒体引爆中华清酒百亿新征程 | 2026-04-06 08:31:00 | (https://mp.weixin.qq.com/s/ccCzb-aUL3SP3_zZIIyl_Q) </w:t>
      </w:r>
    </w:p>
    <w:p>
      <w:pPr>
        <w:spacing w:line="240" w:lineRule="auto" w:before="120" w:after="120"/>
        <w:ind w:left="0"/>
        <w:jc w:val="left"/>
      </w:pPr>
      <w:r>
        <w:rPr>
          <w:rFonts w:eastAsia="宋体" w:ascii="Times New Roman" w:hAnsi="Times New Roman" w:cs="Times New Roman"/>
          <w:b w:val="false"/>
          <w:i w:val="false"/>
          <w:sz w:val="22"/>
        </w:rPr>
        <w:t xml:space="preserve">[49] 分众2024年报速览&amp;减仓(2025年第19周) | 2026-03-10 18:29:00 | (https://k.sina.cn/article_7879922982_1d5ae15260190a6e72.html) </w:t>
      </w:r>
    </w:p>
    <w:p>
      <w:pPr>
        <w:spacing w:line="240" w:lineRule="auto" w:before="120" w:after="120"/>
        <w:ind w:left="0"/>
        <w:jc w:val="left"/>
      </w:pPr>
      <w:r>
        <w:rPr>
          <w:rFonts w:eastAsia="宋体" w:ascii="Times New Roman" w:hAnsi="Times New Roman" w:cs="Times New Roman"/>
          <w:b w:val="false"/>
          <w:i w:val="false"/>
          <w:sz w:val="22"/>
        </w:rPr>
        <w:t xml:space="preserve">[50] 新潮传媒与分众传媒怎么选？电梯广告精准化与规模化路径对比 | 2026-01-28 10:19:00 | (https://www.xhby.net/content/s6979721ae4b037c73eea9174.html) </w:t>
      </w:r>
    </w:p>
    <w:p>
      <w:pPr>
        <w:spacing w:line="240" w:lineRule="auto" w:before="120" w:after="120"/>
        <w:ind w:left="0"/>
        <w:jc w:val="left"/>
      </w:pPr>
      <w:r>
        <w:rPr>
          <w:rFonts w:eastAsia="宋体" w:ascii="Times New Roman" w:hAnsi="Times New Roman" w:cs="Times New Roman"/>
          <w:b w:val="false"/>
          <w:i w:val="false"/>
          <w:sz w:val="22"/>
        </w:rPr>
        <w:t xml:space="preserve">[51] 分众传媒以数字化重构品效协同新范式 | 2025-12-12 08:26:00 | (https://k.sina.cn/article_1699432410_654b47da02001ma4s.html) </w:t>
      </w:r>
    </w:p>
    <w:p>
      <w:pPr>
        <w:spacing w:line="240" w:lineRule="auto" w:before="120" w:after="120"/>
        <w:ind w:left="0"/>
        <w:jc w:val="left"/>
      </w:pPr>
      <w:r>
        <w:rPr>
          <w:rFonts w:eastAsia="宋体" w:ascii="Times New Roman" w:hAnsi="Times New Roman" w:cs="Times New Roman"/>
          <w:b w:val="false"/>
          <w:i w:val="false"/>
          <w:sz w:val="22"/>
        </w:rPr>
        <w:t xml:space="preserve">[52] 电梯媒体投放终极指南：以分众传媒为核心，构建品牌增长确定性 - 滚动资讯 - 中国产业发展研究网 | 2026-02-09 21:10:54 | (http://www.chinaidr.com/news/2026-02/253106.html) </w:t>
      </w:r>
    </w:p>
    <w:p>
      <w:pPr>
        <w:spacing w:line="240" w:lineRule="auto" w:before="120" w:after="120"/>
        <w:ind w:left="0"/>
        <w:jc w:val="left"/>
      </w:pPr>
      <w:r>
        <w:rPr>
          <w:rFonts w:eastAsia="宋体" w:ascii="Times New Roman" w:hAnsi="Times New Roman" w:cs="Times New Roman"/>
          <w:b w:val="false"/>
          <w:i w:val="false"/>
          <w:sz w:val="22"/>
        </w:rPr>
        <w:t xml:space="preserve">[53] 分众传媒上半年净利润26.65亿元 | 2025-08-31 17:36:41 </w:t>
      </w:r>
    </w:p>
    <w:p>
      <w:pPr>
        <w:spacing w:line="240" w:lineRule="auto" w:before="120" w:after="120"/>
        <w:ind w:left="0"/>
        <w:jc w:val="left"/>
      </w:pPr>
      <w:r>
        <w:rPr>
          <w:rFonts w:eastAsia="宋体" w:ascii="Times New Roman" w:hAnsi="Times New Roman" w:cs="Times New Roman"/>
          <w:b w:val="false"/>
          <w:i w:val="false"/>
          <w:sz w:val="22"/>
        </w:rPr>
        <w:t xml:space="preserve">[54] 分众传媒2024年报分析 | 2025-07-22 20:40:00 | (https://mp.weixin.qq.com/s/phRCOrolbsb-kcuMGtwnog) </w:t>
      </w:r>
    </w:p>
    <w:p>
      <w:pPr>
        <w:spacing w:line="240" w:lineRule="auto" w:before="120" w:after="120"/>
        <w:ind w:left="0"/>
        <w:jc w:val="left"/>
      </w:pPr>
      <w:r>
        <w:rPr>
          <w:rFonts w:eastAsia="宋体" w:ascii="Times New Roman" w:hAnsi="Times New Roman" w:cs="Times New Roman"/>
          <w:b w:val="false"/>
          <w:i w:val="false"/>
          <w:sz w:val="22"/>
        </w:rPr>
        <w:t xml:space="preserve">[55] 分众传媒电梯上线“碰一下” 新交互创造新入口 - 证券日报 | 2025-08-07 10:59:45 | (http://www.zqrb.cn/gscy/gongsi/2025-08-07/A1754530687640.html) </w:t>
      </w:r>
    </w:p>
    <w:p>
      <w:pPr>
        <w:spacing w:line="240" w:lineRule="auto" w:before="120" w:after="120"/>
        <w:ind w:left="0"/>
        <w:jc w:val="left"/>
      </w:pPr>
      <w:r>
        <w:rPr>
          <w:rFonts w:eastAsia="宋体" w:ascii="Times New Roman" w:hAnsi="Times New Roman" w:cs="Times New Roman"/>
          <w:b w:val="false"/>
          <w:i w:val="false"/>
          <w:sz w:val="22"/>
        </w:rPr>
        <w:t xml:space="preserve">[56] 一抖一书一分众：透视数字时代品牌营销的三维矩阵|电商|小红书|分众传媒|知名企业_网易订阅 | 2026-02-10 09:45:53 | (https://www.163.com/dy/article/KLD7SFDD05560O69.html) </w:t>
      </w:r>
    </w:p>
    <w:p>
      <w:pPr>
        <w:spacing w:line="240" w:lineRule="auto" w:before="120" w:after="120"/>
        <w:ind w:left="0"/>
        <w:jc w:val="left"/>
      </w:pPr>
      <w:r>
        <w:rPr>
          <w:rFonts w:eastAsia="宋体" w:ascii="Times New Roman" w:hAnsi="Times New Roman" w:cs="Times New Roman"/>
          <w:b w:val="false"/>
          <w:i w:val="false"/>
          <w:sz w:val="22"/>
        </w:rPr>
        <w:t xml:space="preserve">[57] 东吴证券：给予分众传媒买入评级 | 2025-08-12 22:18:20 | (http://stock.10jqka.com.cn/20250812/c670324049.shtml) </w:t>
      </w:r>
    </w:p>
    <w:p>
      <w:pPr>
        <w:spacing w:line="240" w:lineRule="auto" w:before="120" w:after="120"/>
        <w:ind w:left="0"/>
        <w:jc w:val="left"/>
      </w:pPr>
      <w:r>
        <w:rPr>
          <w:rFonts w:eastAsia="宋体" w:ascii="Times New Roman" w:hAnsi="Times New Roman" w:cs="Times New Roman"/>
          <w:b w:val="false"/>
          <w:i w:val="false"/>
          <w:sz w:val="22"/>
        </w:rPr>
        <w:t xml:space="preserve">[58] 分众传媒(002027)：“碰一碰”业务助力分众广告巨头实现效果广告大转型 | 2025-08-12 00:00:00 | (https://quote.cfi.cn/ybdata.aspx?id=20250812000373) </w:t>
      </w:r>
    </w:p>
    <w:p>
      <w:pPr>
        <w:spacing w:line="240" w:lineRule="auto" w:before="120" w:after="120"/>
        <w:ind w:left="0"/>
        <w:jc w:val="left"/>
      </w:pPr>
      <w:r>
        <w:rPr>
          <w:rFonts w:eastAsia="宋体" w:ascii="Times New Roman" w:hAnsi="Times New Roman" w:cs="Times New Roman"/>
          <w:b w:val="false"/>
          <w:i w:val="false"/>
          <w:sz w:val="22"/>
        </w:rPr>
        <w:t xml:space="preserve">[59] 分众传媒 公司护城河透视 | 2026-02-09 11:48:00 | (https://mp.weixin.qq.com/s/ZH30Dn4s1nNAnLyykxye0w) </w:t>
      </w:r>
    </w:p>
    <w:p>
      <w:pPr>
        <w:spacing w:line="240" w:lineRule="auto" w:before="120" w:after="120"/>
        <w:ind w:left="0"/>
        <w:jc w:val="left"/>
      </w:pPr>
      <w:r>
        <w:rPr>
          <w:rFonts w:eastAsia="宋体" w:ascii="Times New Roman" w:hAnsi="Times New Roman" w:cs="Times New Roman"/>
          <w:b w:val="false"/>
          <w:i w:val="false"/>
          <w:sz w:val="22"/>
        </w:rPr>
        <w:t xml:space="preserve">[60] 2026年分众传媒公司深度报告：基本盘稳固，格局优化+“碰一碰”开启成长新周期 - 报告精读 - 未来智库 | 2026-03-26 00:00:00 | (https://www.vzkoo.com/read/4651071533114986496.html) </w:t>
      </w:r>
    </w:p>
    <w:p>
      <w:pPr>
        <w:spacing w:line="240" w:lineRule="auto" w:before="120" w:after="120"/>
        <w:ind w:left="0"/>
        <w:jc w:val="left"/>
      </w:pPr>
      <w:r>
        <w:rPr>
          <w:rFonts w:eastAsia="宋体" w:ascii="Times New Roman" w:hAnsi="Times New Roman" w:cs="Times New Roman"/>
          <w:b w:val="false"/>
          <w:i w:val="false"/>
          <w:sz w:val="22"/>
        </w:rPr>
        <w:t xml:space="preserve">[61] 分众传媒：电梯霸主的价值十字路口 | 2025-07-17 08:00:00 | (https://mp.weixin.qq.com/s/IyhXJgr51LaZXOugNjl81w) </w:t>
      </w:r>
    </w:p>
    <w:p>
      <w:pPr>
        <w:spacing w:line="240" w:lineRule="auto" w:before="120" w:after="120"/>
        <w:ind w:left="0"/>
        <w:jc w:val="left"/>
      </w:pPr>
      <w:r>
        <w:rPr>
          <w:rFonts w:eastAsia="宋体" w:ascii="Times New Roman" w:hAnsi="Times New Roman" w:cs="Times New Roman"/>
          <w:b w:val="false"/>
          <w:i w:val="false"/>
          <w:sz w:val="22"/>
        </w:rPr>
        <w:t xml:space="preserve">[62] 分众传媒回应深交所问询 详解收购新潮传媒相关事项 | 2026-03-03 20:25:00 | (https://finance.sina.com.cn/stock/aigc/wenxun/2026-03-03/doc-inhptkrk4554532.shtml) </w:t>
      </w:r>
    </w:p>
    <w:p>
      <w:pPr>
        <w:spacing w:line="240" w:lineRule="auto" w:before="120" w:after="120"/>
        <w:ind w:left="0"/>
        <w:jc w:val="left"/>
      </w:pPr>
      <w:r>
        <w:rPr>
          <w:rFonts w:eastAsia="宋体" w:ascii="Times New Roman" w:hAnsi="Times New Roman" w:cs="Times New Roman"/>
          <w:b w:val="false"/>
          <w:i w:val="false"/>
          <w:sz w:val="22"/>
        </w:rPr>
        <w:t xml:space="preserve">[63] 碰一碰推动梯媒渠道价值重估，新潮后续贡献增量可期 | 2025-10-21 00:00:00 | (http://np-annrep-corpus.em/pdf/H3_AP202510221766727277_1.pdf) </w:t>
      </w:r>
    </w:p>
    <w:p>
      <w:pPr>
        <w:spacing w:line="240" w:lineRule="auto" w:before="120" w:after="120"/>
        <w:ind w:left="0"/>
        <w:jc w:val="left"/>
      </w:pPr>
      <w:r>
        <w:rPr>
          <w:rFonts w:eastAsia="宋体" w:ascii="Times New Roman" w:hAnsi="Times New Roman" w:cs="Times New Roman"/>
          <w:b w:val="false"/>
          <w:i w:val="false"/>
          <w:sz w:val="22"/>
        </w:rPr>
        <w:t xml:space="preserve">[64] 广告业两大巨头强强联合 分众传媒拟83亿元收购新潮传媒100%股权-证券日报网-证券日报网 | 2025-08-07 23:52:00 | (http://www.zqrb.cn/gscy/gongsi/2025-08-07/A1754571033616.html) </w:t>
      </w:r>
    </w:p>
    <w:p>
      <w:pPr>
        <w:spacing w:line="240" w:lineRule="auto" w:before="120" w:after="120"/>
        <w:ind w:left="0"/>
        <w:jc w:val="left"/>
      </w:pPr>
      <w:r>
        <w:rPr>
          <w:rFonts w:eastAsia="宋体" w:ascii="Times New Roman" w:hAnsi="Times New Roman" w:cs="Times New Roman"/>
          <w:b w:val="false"/>
          <w:i w:val="false"/>
          <w:sz w:val="22"/>
        </w:rPr>
        <w:t xml:space="preserve">[65] 交易对手变更，分众传媒调整重组新潮传媒方案|界面新闻 · 证券 | 2025-07-23 15:33:00 | (https://www.jiemian.com/article/13073867.html) </w:t>
      </w:r>
    </w:p>
    <w:p>
      <w:pPr>
        <w:spacing w:line="240" w:lineRule="auto" w:before="120" w:after="120"/>
        <w:ind w:left="0"/>
        <w:jc w:val="left"/>
      </w:pPr>
      <w:r>
        <w:rPr>
          <w:rFonts w:eastAsia="宋体" w:ascii="Times New Roman" w:hAnsi="Times New Roman" w:cs="Times New Roman"/>
          <w:b w:val="false"/>
          <w:i w:val="false"/>
          <w:sz w:val="22"/>
        </w:rPr>
        <w:t xml:space="preserve">[66] 收购扩渠道，携手支付宝打通转化链路，看好后续增长 | 2025-07-04 00:00:00 | (http://np-annrep-corpus.em/pdf/H3_AP202507051703514918_1.pdf) </w:t>
      </w:r>
    </w:p>
    <w:p>
      <w:pPr>
        <w:spacing w:line="240" w:lineRule="auto" w:before="120" w:after="120"/>
        <w:ind w:left="0"/>
        <w:jc w:val="left"/>
      </w:pPr>
      <w:r>
        <w:rPr>
          <w:rFonts w:eastAsia="宋体" w:ascii="Times New Roman" w:hAnsi="Times New Roman" w:cs="Times New Roman"/>
          <w:b w:val="false"/>
          <w:i w:val="false"/>
          <w:sz w:val="22"/>
        </w:rPr>
        <w:t xml:space="preserve">[67] 分众传媒77.94亿并购新潮传媒90.02%股权：发行股份+现金组合拳，户外广告格局迎终局性整合 | 2026-01-01 07:08:00 | (https://mp.weixin.qq.com/s/IjgnIK17zpFrtGStEaMYFw) </w:t>
      </w:r>
    </w:p>
    <w:p>
      <w:pPr>
        <w:spacing w:line="240" w:lineRule="auto" w:before="120" w:after="120"/>
        <w:ind w:left="0"/>
        <w:jc w:val="left"/>
      </w:pPr>
      <w:r>
        <w:rPr>
          <w:rFonts w:eastAsia="宋体" w:ascii="Times New Roman" w:hAnsi="Times New Roman" w:cs="Times New Roman"/>
          <w:b w:val="false"/>
          <w:i w:val="false"/>
          <w:sz w:val="22"/>
        </w:rPr>
        <w:t xml:space="preserve">[68] 分众传媒收购新潮传媒最新动态解读 | 2025-12-11 11:10:00 | (https://m.sohu.com/a/963961454_122017164/?pvid=000115_3w_a) </w:t>
      </w:r>
    </w:p>
    <w:p>
      <w:pPr>
        <w:spacing w:line="240" w:lineRule="auto" w:before="120" w:after="120"/>
        <w:ind w:left="0"/>
        <w:jc w:val="left"/>
      </w:pPr>
      <w:r>
        <w:rPr>
          <w:rFonts w:eastAsia="宋体" w:ascii="Times New Roman" w:hAnsi="Times New Roman" w:cs="Times New Roman"/>
          <w:b w:val="false"/>
          <w:i w:val="false"/>
          <w:sz w:val="22"/>
        </w:rPr>
        <w:t xml:space="preserve">[69] 梯媒，再无烽烟 分众传媒收购新潮传媒属于典型的战略性溢价收购 | 2025-08-27 06:50:00 | (https://www.xueqiu.com/7227755468/349215473) </w:t>
      </w:r>
    </w:p>
    <w:p>
      <w:pPr>
        <w:spacing w:line="240" w:lineRule="auto" w:before="120" w:after="120"/>
        <w:ind w:left="0"/>
        <w:jc w:val="left"/>
      </w:pPr>
      <w:r>
        <w:rPr>
          <w:rFonts w:eastAsia="宋体" w:ascii="Times New Roman" w:hAnsi="Times New Roman" w:cs="Times New Roman"/>
          <w:b w:val="false"/>
          <w:i w:val="false"/>
          <w:sz w:val="22"/>
        </w:rPr>
        <w:t xml:space="preserve">[70] 分众传媒拟以83亿元收购新潮传媒100%股权 中国基金报 | 2025-08-06 23:30:00 | (https://www.chnfund.com/article/ARa937999c-4704-bb79-1d67-3a1b9231789f) </w:t>
      </w:r>
    </w:p>
    <w:p>
      <w:pPr>
        <w:spacing w:line="240" w:lineRule="auto" w:before="120" w:after="120"/>
        <w:ind w:left="0"/>
        <w:jc w:val="left"/>
      </w:pPr>
      <w:r>
        <w:rPr>
          <w:rFonts w:eastAsia="宋体" w:ascii="Times New Roman" w:hAnsi="Times New Roman" w:cs="Times New Roman"/>
          <w:b w:val="false"/>
          <w:i w:val="false"/>
          <w:sz w:val="22"/>
        </w:rPr>
        <w:t xml:space="preserve">[71] 分众传媒收购新潮传媒90.02%股权事项获会计师回复 多项财务数据及交易细节披露 | 2026-03-03 20:25:00 | (https://finance.sina.com.cn/stock/aigc/wenxun/2026-03-03/doc-inhptkrk4554541.shtml) </w:t>
      </w:r>
    </w:p>
    <w:p>
      <w:pPr>
        <w:spacing w:line="240" w:lineRule="auto" w:before="120" w:after="120"/>
        <w:ind w:left="0"/>
        <w:jc w:val="left"/>
      </w:pPr>
      <w:r>
        <w:rPr>
          <w:rFonts w:eastAsia="宋体" w:ascii="Times New Roman" w:hAnsi="Times New Roman" w:cs="Times New Roman"/>
          <w:b w:val="false"/>
          <w:i w:val="false"/>
          <w:sz w:val="22"/>
        </w:rPr>
        <w:t xml:space="preserve">[72] 分众传媒（002027）83亿收购新潮传媒：构建"商务楼宇+社区场景"全域广告生态 | 2025-08-08 17:01:00 | (https://mp.weixin.qq.com/s/57WLi5G8RQVaKHjQR47wEA) </w:t>
      </w:r>
    </w:p>
    <w:p>
      <w:pPr>
        <w:spacing w:line="240" w:lineRule="auto" w:before="120" w:after="120"/>
        <w:ind w:left="0"/>
        <w:jc w:val="left"/>
      </w:pPr>
      <w:r>
        <w:rPr>
          <w:rFonts w:eastAsia="宋体" w:ascii="Times New Roman" w:hAnsi="Times New Roman" w:cs="Times New Roman"/>
          <w:b w:val="false"/>
          <w:i w:val="false"/>
          <w:sz w:val="22"/>
        </w:rPr>
        <w:t xml:space="preserve">[73] 财说|分众83亿鲸吞新潮背后：电梯间“一碰”重写行业规则 | 2025-08-09 08:52:23 | (https://www.jiemian.com/article/13153323.html) </w:t>
      </w:r>
    </w:p>
    <w:p>
      <w:pPr>
        <w:spacing w:line="240" w:lineRule="auto" w:before="120" w:after="120"/>
        <w:ind w:left="0"/>
        <w:jc w:val="left"/>
      </w:pPr>
      <w:r>
        <w:rPr>
          <w:rFonts w:eastAsia="宋体" w:ascii="Times New Roman" w:hAnsi="Times New Roman" w:cs="Times New Roman"/>
          <w:b w:val="false"/>
          <w:i w:val="false"/>
          <w:sz w:val="22"/>
        </w:rPr>
        <w:t xml:space="preserve">[74] 2025年分众传媒分析：并购新潮贡献30亿收入增量，梯媒龙头迎来价值重估 | 2025-11-03 17:52:00 | (https://www.baogaobox.com/insights/251102000022124.html) </w:t>
      </w:r>
    </w:p>
    <w:p>
      <w:pPr>
        <w:spacing w:line="240" w:lineRule="auto" w:before="120" w:after="120"/>
        <w:ind w:left="0"/>
        <w:jc w:val="left"/>
      </w:pPr>
      <w:r>
        <w:rPr>
          <w:rFonts w:eastAsia="宋体" w:ascii="Times New Roman" w:hAnsi="Times New Roman" w:cs="Times New Roman"/>
          <w:b w:val="false"/>
          <w:i w:val="false"/>
          <w:sz w:val="22"/>
        </w:rPr>
        <w:t xml:space="preserve">[75] 分众传媒联合支付宝 将在全国百万电梯屏幕上线“碰一下” | 2025-08-06 19:35:24 </w:t>
      </w:r>
    </w:p>
    <w:p>
      <w:pPr>
        <w:spacing w:line="240" w:lineRule="auto" w:before="120" w:after="120"/>
        <w:ind w:left="0"/>
        <w:jc w:val="left"/>
      </w:pPr>
      <w:r>
        <w:rPr>
          <w:rFonts w:eastAsia="宋体" w:ascii="Times New Roman" w:hAnsi="Times New Roman" w:cs="Times New Roman"/>
          <w:b w:val="false"/>
          <w:i w:val="false"/>
          <w:sz w:val="22"/>
        </w:rPr>
        <w:t xml:space="preserve">[76] 分众联合支付宝再造千亿流量新入口 | 2025-08-12 08:31:00 | (https://mp.weixin.qq.com/s/Ng4KAAcdXTNCbdwfMUWXMg) </w:t>
      </w:r>
    </w:p>
    <w:p>
      <w:pPr>
        <w:spacing w:line="240" w:lineRule="auto" w:before="120" w:after="120"/>
        <w:ind w:left="0"/>
        <w:jc w:val="left"/>
      </w:pPr>
      <w:r>
        <w:rPr>
          <w:rFonts w:eastAsia="宋体" w:ascii="Times New Roman" w:hAnsi="Times New Roman" w:cs="Times New Roman"/>
          <w:b w:val="false"/>
          <w:i w:val="false"/>
          <w:sz w:val="22"/>
        </w:rPr>
        <w:t xml:space="preserve">[77] 分众传媒2025Q3财报：业绩稳健增长，“四可”迭代与“碰一下”释放新动能 | 2025-10-29 20:15:37 | (http://www.nbd.com.cn/rss/eastmoney/articles/4117806.html) </w:t>
      </w:r>
    </w:p>
    <w:p>
      <w:pPr>
        <w:spacing w:line="240" w:lineRule="auto" w:before="120" w:after="120"/>
        <w:ind w:left="0"/>
        <w:jc w:val="left"/>
      </w:pPr>
      <w:r>
        <w:rPr>
          <w:rFonts w:eastAsia="宋体" w:ascii="Times New Roman" w:hAnsi="Times New Roman" w:cs="Times New Roman"/>
          <w:b w:val="false"/>
          <w:i w:val="false"/>
          <w:sz w:val="22"/>
        </w:rPr>
        <w:t xml:space="preserve">[78] 分众传媒2025年半年报：业绩平稳增长 “碰一下”激活新红利 | 2025-08-31 20:25:29 </w:t>
      </w:r>
    </w:p>
    <w:p>
      <w:pPr>
        <w:spacing w:line="240" w:lineRule="auto" w:before="120" w:after="120"/>
        <w:ind w:left="0"/>
        <w:jc w:val="left"/>
      </w:pPr>
      <w:r>
        <w:rPr>
          <w:rFonts w:eastAsia="宋体" w:ascii="Times New Roman" w:hAnsi="Times New Roman" w:cs="Times New Roman"/>
          <w:b w:val="false"/>
          <w:i w:val="false"/>
          <w:sz w:val="22"/>
        </w:rPr>
        <w:t xml:space="preserve">[79] 分众传媒机构调研纪要 - 发现报告 | 2025-08-29 11:37:58 | (https://www.fxbaogao.com/detail/5035873) </w:t>
      </w:r>
    </w:p>
    <w:p>
      <w:pPr>
        <w:spacing w:line="240" w:lineRule="auto" w:before="120" w:after="120"/>
        <w:ind w:left="0"/>
        <w:jc w:val="left"/>
      </w:pPr>
      <w:r>
        <w:rPr>
          <w:rFonts w:eastAsia="宋体" w:ascii="Times New Roman" w:hAnsi="Times New Roman" w:cs="Times New Roman"/>
          <w:b w:val="false"/>
          <w:i w:val="false"/>
          <w:sz w:val="22"/>
        </w:rPr>
        <w:t xml:space="preserve">[80] 分众传媒：将进一步拓展巴西、墨西哥及加拿大市场_腾讯新闻 | 2025-09-01 16:29:00 | (https://news.qq.com/rain/a/20250901A05RTL00) </w:t>
      </w:r>
    </w:p>
    <w:p>
      <w:pPr>
        <w:spacing w:line="240" w:lineRule="auto" w:before="120" w:after="120"/>
        <w:ind w:left="0"/>
        <w:jc w:val="left"/>
      </w:pPr>
      <w:r>
        <w:rPr>
          <w:rFonts w:eastAsia="宋体" w:ascii="Times New Roman" w:hAnsi="Times New Roman" w:cs="Times New Roman"/>
          <w:b w:val="false"/>
          <w:i w:val="false"/>
          <w:sz w:val="22"/>
        </w:rPr>
        <w:t xml:space="preserve">[81] 分众传媒2025年半年报简析 | 2025-09-05 11:26:00 | (https://mp.weixin.qq.com/s/ddeZlmku7h_vFF5q_7y5yQ) </w:t>
      </w:r>
    </w:p>
    <w:p>
      <w:pPr>
        <w:spacing w:line="240" w:lineRule="auto" w:before="120" w:after="120"/>
        <w:ind w:left="0"/>
        <w:jc w:val="left"/>
      </w:pPr>
      <w:r>
        <w:rPr>
          <w:rFonts w:eastAsia="宋体" w:ascii="Times New Roman" w:hAnsi="Times New Roman" w:cs="Times New Roman"/>
          <w:b w:val="false"/>
          <w:i w:val="false"/>
          <w:sz w:val="22"/>
        </w:rPr>
        <w:t xml:space="preserve">[82] 分众传媒(002027)：产业并购强者恒强 AI赋能行业发展 | 2025-08-19 00:00:00 | (https://quote.cfi.cn/ybdata.aspx?id=20250819000307) </w:t>
      </w:r>
    </w:p>
    <w:p>
      <w:pPr>
        <w:spacing w:line="240" w:lineRule="auto" w:before="120" w:after="120"/>
        <w:ind w:left="0"/>
        <w:jc w:val="left"/>
      </w:pPr>
      <w:r>
        <w:rPr>
          <w:rFonts w:eastAsia="宋体" w:ascii="Times New Roman" w:hAnsi="Times New Roman" w:cs="Times New Roman"/>
          <w:b w:val="false"/>
          <w:i w:val="false"/>
          <w:sz w:val="22"/>
        </w:rPr>
        <w:t xml:space="preserve">[83] 分众传媒未来五年的前景预测 以下基于分众传媒三大核心增长驱动 | 2025-06-30 23:00:00 | (https://www.xueqiu.com/7670755869/340724146) </w:t>
      </w:r>
    </w:p>
    <w:p>
      <w:pPr>
        <w:spacing w:line="240" w:lineRule="auto" w:before="120" w:after="120"/>
        <w:ind w:left="0"/>
        <w:jc w:val="left"/>
      </w:pPr>
      <w:r>
        <w:rPr>
          <w:rFonts w:eastAsia="宋体" w:ascii="Times New Roman" w:hAnsi="Times New Roman" w:cs="Times New Roman"/>
          <w:b w:val="false"/>
          <w:i w:val="false"/>
          <w:sz w:val="22"/>
        </w:rPr>
        <w:t xml:space="preserve">[84] 分众传媒：海外市场的潜力与挑战 1. 市场空间与增长目标 扩 | 2025-06-29 22:48:00 | (https://www.xueqiu.com/7670755869/340575355) </w:t>
      </w:r>
    </w:p>
    <w:p>
      <w:pPr>
        <w:spacing w:line="240" w:lineRule="auto" w:before="120" w:after="120"/>
        <w:ind w:left="0"/>
        <w:jc w:val="left"/>
      </w:pPr>
      <w:r>
        <w:rPr>
          <w:rFonts w:eastAsia="宋体" w:ascii="Times New Roman" w:hAnsi="Times New Roman" w:cs="Times New Roman"/>
          <w:b w:val="false"/>
          <w:i w:val="false"/>
          <w:sz w:val="22"/>
        </w:rPr>
        <w:t xml:space="preserve">[85] 2026年掌握6大关键，分众广告怎么提高广告转化？_用户_品牌_核心 | 2026-01-26 13:58:00 | (https://www.sohu.com/a/980135119_121168003) </w:t>
      </w:r>
    </w:p>
    <w:p>
      <w:pPr>
        <w:spacing w:line="240" w:lineRule="auto" w:before="120" w:after="120"/>
        <w:ind w:left="0"/>
        <w:jc w:val="left"/>
      </w:pPr>
      <w:r>
        <w:rPr>
          <w:rFonts w:eastAsia="宋体" w:ascii="Times New Roman" w:hAnsi="Times New Roman" w:cs="Times New Roman"/>
          <w:b w:val="false"/>
          <w:i w:val="false"/>
          <w:sz w:val="22"/>
        </w:rPr>
        <w:t xml:space="preserve">[86] 分众传媒最近一周资讯简报 (2025年6月23日-6月29日) | 2025-06-30 11:34:00 | (https://xueqiu.com/1998814730/340627450) </w:t>
      </w:r>
    </w:p>
    <w:p>
      <w:pPr>
        <w:spacing w:line="240" w:lineRule="auto" w:before="120" w:after="120"/>
        <w:ind w:left="0"/>
        <w:jc w:val="left"/>
      </w:pPr>
      <w:r>
        <w:rPr>
          <w:rFonts w:eastAsia="宋体" w:ascii="Times New Roman" w:hAnsi="Times New Roman" w:cs="Times New Roman"/>
          <w:b w:val="false"/>
          <w:i w:val="false"/>
          <w:sz w:val="22"/>
        </w:rPr>
        <w:t xml:space="preserve">[87] 分众传媒(002027)的投资价值再思考：核心逻辑与买卖点分析 | 2025-06-25 11:01:00 | (https://mp.weixin.qq.com/s/tGZLkaZECsu7XbT682yxxw) </w:t>
      </w:r>
    </w:p>
    <w:p>
      <w:pPr>
        <w:spacing w:line="240" w:lineRule="auto" w:before="120" w:after="120"/>
        <w:ind w:left="0"/>
        <w:jc w:val="left"/>
      </w:pPr>
      <w:r>
        <w:rPr>
          <w:rFonts w:eastAsia="宋体" w:ascii="Times New Roman" w:hAnsi="Times New Roman" w:cs="Times New Roman"/>
          <w:b w:val="false"/>
          <w:i w:val="false"/>
          <w:sz w:val="22"/>
        </w:rPr>
        <w:t xml:space="preserve">[88] 分众传媒：2025年净利润29.46亿元，同比减少42.85% | 2026-04-29 07:23:57 | (https://m.21jingji.com/timeline/f16fd26439f872ec2d2abce11eefecf2.html) </w:t>
      </w:r>
    </w:p>
    <w:p>
      <w:pPr>
        <w:spacing w:line="240" w:lineRule="auto" w:before="120" w:after="120"/>
        <w:ind w:left="0"/>
        <w:jc w:val="left"/>
      </w:pPr>
      <w:r>
        <w:rPr>
          <w:rFonts w:eastAsia="宋体" w:ascii="Times New Roman" w:hAnsi="Times New Roman" w:cs="Times New Roman"/>
          <w:b w:val="false"/>
          <w:i w:val="false"/>
          <w:sz w:val="22"/>
        </w:rPr>
        <w:t xml:space="preserve">[89] 分众传媒：2025年归母净利润29.46亿元，同比下降42.85%，拟10派1.9元-金融界7*24小时 | 2026-04-29 08:39:28 | (https://24h.jrj.com.cn/2026/04/29083956935559.shtml) </w:t>
      </w:r>
    </w:p>
    <w:p>
      <w:pPr>
        <w:spacing w:line="240" w:lineRule="auto" w:before="120" w:after="120"/>
        <w:ind w:left="0"/>
        <w:jc w:val="left"/>
      </w:pPr>
      <w:r>
        <w:rPr>
          <w:rFonts w:eastAsia="宋体" w:ascii="Times New Roman" w:hAnsi="Times New Roman" w:cs="Times New Roman"/>
          <w:b w:val="false"/>
          <w:i w:val="false"/>
          <w:sz w:val="22"/>
        </w:rPr>
        <w:t xml:space="preserve">[90] 方正证券-资讯 | 2026-03-25 00:00:00 | (https://www.foundersc.com/infoResearchMacro/19001765.jhtml) </w:t>
      </w:r>
    </w:p>
    <w:p>
      <w:pPr>
        <w:spacing w:line="240" w:lineRule="auto" w:before="120" w:after="120"/>
        <w:ind w:left="0"/>
        <w:jc w:val="left"/>
      </w:pPr>
      <w:r>
        <w:rPr>
          <w:rFonts w:eastAsia="宋体" w:ascii="Times New Roman" w:hAnsi="Times New Roman" w:cs="Times New Roman"/>
          <w:b w:val="false"/>
          <w:i w:val="false"/>
          <w:sz w:val="22"/>
        </w:rPr>
        <w:t xml:space="preserve">[91] 分众传媒4月24日获融资买入5470.85万元，融资余额17.84亿元|分众传媒_新浪财经_新浪网 | 2026-04-27 09:07:00 | (https://finance.sina.com.cn/stock/aiassist/rzrq/2026-04-27/doc-inhvwwmp2511871.shtml) </w:t>
      </w:r>
    </w:p>
    <w:p>
      <w:pPr>
        <w:spacing w:line="240" w:lineRule="auto" w:before="120" w:after="120"/>
        <w:ind w:left="0"/>
        <w:jc w:val="left"/>
      </w:pPr>
      <w:r>
        <w:rPr>
          <w:rFonts w:eastAsia="宋体" w:ascii="Times New Roman" w:hAnsi="Times New Roman" w:cs="Times New Roman"/>
          <w:b w:val="false"/>
          <w:i w:val="false"/>
          <w:sz w:val="22"/>
        </w:rPr>
        <w:t xml:space="preserve">[92] 分众传媒2025年营收127.59亿元同比增4.05%|净利率|财年年报|知名企业_网易订阅 | 2026-04-29 03:13:27 | (https://www.163.com/dy/article/KRLCHR6805568W0A.html) </w:t>
      </w:r>
    </w:p>
    <w:p>
      <w:pPr>
        <w:spacing w:line="240" w:lineRule="auto" w:before="120" w:after="120"/>
        <w:ind w:left="0"/>
        <w:jc w:val="left"/>
      </w:pPr>
      <w:r>
        <w:rPr>
          <w:rFonts w:eastAsia="宋体" w:ascii="Times New Roman" w:hAnsi="Times New Roman" w:cs="Times New Roman"/>
          <w:b w:val="false"/>
          <w:i w:val="false"/>
          <w:sz w:val="22"/>
        </w:rPr>
        <w:t xml:space="preserve">[93] 分众传媒一季度营收29.15亿元同比增2.01%|净利率|业务板块|知名企业_网易订阅 | 2026-04-29 03:13:26 | (https://www.163.com/dy/article/KRLCHPVD05568W0A.html) </w:t>
      </w:r>
    </w:p>
    <w:p>
      <w:pPr>
        <w:spacing w:line="240" w:lineRule="auto" w:before="120" w:after="120"/>
        <w:ind w:left="0"/>
        <w:jc w:val="left"/>
      </w:pPr>
      <w:r>
        <w:rPr>
          <w:rFonts w:eastAsia="宋体" w:ascii="Times New Roman" w:hAnsi="Times New Roman" w:cs="Times New Roman"/>
          <w:b w:val="false"/>
          <w:i w:val="false"/>
          <w:sz w:val="22"/>
        </w:rPr>
        <w:t xml:space="preserve">[94] 分众传媒(002027.SZ)：一季度归母净利润17.9亿元 同比增长57.65%-财经-金融界 | 2026-04-29 06:49:15 | (https://finance.jrj.com.cn/2026/04/29064956934903.shtml) </w:t>
      </w:r>
    </w:p>
    <w:p>
      <w:pPr>
        <w:spacing w:line="240" w:lineRule="auto" w:before="120" w:after="120"/>
        <w:ind w:left="0"/>
        <w:jc w:val="left"/>
      </w:pPr>
      <w:r>
        <w:rPr>
          <w:rFonts w:eastAsia="宋体" w:ascii="Times New Roman" w:hAnsi="Times New Roman" w:cs="Times New Roman"/>
          <w:b w:val="false"/>
          <w:i w:val="false"/>
          <w:sz w:val="22"/>
        </w:rPr>
        <w:t xml:space="preserve">[95] 分众传媒的护城河真的牢不可破吗？ | 2026-03-12 11:50:00 | (https://mp.weixin.qq.com/s/UcMXgru7IwGli3NN0CR3_Q) </w:t>
      </w:r>
    </w:p>
    <w:p>
      <w:pPr>
        <w:spacing w:line="240" w:lineRule="auto" w:before="120" w:after="120"/>
        <w:ind w:left="0"/>
        <w:jc w:val="left"/>
      </w:pPr>
      <w:r>
        <w:rPr>
          <w:rFonts w:eastAsia="宋体" w:ascii="Times New Roman" w:hAnsi="Times New Roman" w:cs="Times New Roman"/>
          <w:b w:val="false"/>
          <w:i w:val="false"/>
          <w:sz w:val="22"/>
        </w:rPr>
        <w:t xml:space="preserve">[96] 分众传媒 4000 字深度研报 | 2026-03-11 11:48:00 | (https://mp.weixin.qq.com/s/ZrhKiqdK9RFc3OV7i6SC8g) </w:t>
      </w:r>
    </w:p>
    <w:p>
      <w:pPr>
        <w:spacing w:line="240" w:lineRule="auto" w:before="120" w:after="120"/>
        <w:ind w:left="0"/>
        <w:jc w:val="left"/>
      </w:pPr>
      <w:r>
        <w:rPr>
          <w:rFonts w:eastAsia="宋体" w:ascii="Times New Roman" w:hAnsi="Times New Roman" w:cs="Times New Roman"/>
          <w:b w:val="false"/>
          <w:i w:val="false"/>
          <w:sz w:val="22"/>
        </w:rPr>
        <w:t xml:space="preserve">[97] 分众传媒(002027)：主业盈利能力持续增强 互联网广告主增量显著 | 2025-10-30 00:00:00 | (https://quote.cfi.cn/ybdata.aspx?id=20251030000058) </w:t>
      </w:r>
    </w:p>
    <w:p>
      <w:pPr>
        <w:spacing w:line="240" w:lineRule="auto" w:before="120" w:after="120"/>
        <w:ind w:left="0"/>
        <w:jc w:val="left"/>
      </w:pPr>
      <w:r>
        <w:rPr>
          <w:rFonts w:eastAsia="宋体" w:ascii="Times New Roman" w:hAnsi="Times New Roman" w:cs="Times New Roman"/>
          <w:b w:val="false"/>
          <w:i w:val="false"/>
          <w:sz w:val="22"/>
        </w:rPr>
        <w:t xml:space="preserve">[98] 分众传媒（002027）2025年中报财务分析：营收稳健增长 | 2025-09-06 00:00:00 | (https://wap.stockstar.com/detail/RB2025090600001396) </w:t>
      </w:r>
    </w:p>
    <w:p>
      <w:pPr>
        <w:spacing w:line="240" w:lineRule="auto" w:before="120" w:after="120"/>
        <w:ind w:left="0"/>
        <w:jc w:val="left"/>
      </w:pPr>
      <w:r>
        <w:rPr>
          <w:rFonts w:eastAsia="宋体" w:ascii="Times New Roman" w:hAnsi="Times New Roman" w:cs="Times New Roman"/>
          <w:b w:val="false"/>
          <w:i w:val="false"/>
          <w:sz w:val="22"/>
        </w:rPr>
        <w:t xml:space="preserve">[99] 分众传媒财报总结 | 2025-09-01 01:07:00 | (https://guba.sina.cn/?bid=268&amp;s=thread&amp;tid=371779) </w:t>
      </w:r>
    </w:p>
    <w:p>
      <w:pPr>
        <w:spacing w:line="240" w:lineRule="auto" w:before="120" w:after="120"/>
        <w:ind w:left="0"/>
        <w:jc w:val="left"/>
      </w:pPr>
      <w:r>
        <w:rPr>
          <w:rFonts w:eastAsia="宋体" w:ascii="Times New Roman" w:hAnsi="Times New Roman" w:cs="Times New Roman"/>
          <w:b w:val="false"/>
          <w:i w:val="false"/>
          <w:sz w:val="22"/>
        </w:rPr>
        <w:t xml:space="preserve">[100] 分众传媒(002027)：业绩稳健增长 收购新潮优化竞争格局 | 2025-04-30 00:00:00 | (http://stock.finance.sina.com.cn/stock/go.php/vReport_Show/kind/lastest/rptid/799373764171/index.phtml) </w:t>
      </w:r>
    </w:p>
    <w:p>
      <w:pPr>
        <w:spacing w:line="240" w:lineRule="auto" w:before="120" w:after="120"/>
        <w:ind w:left="0"/>
        <w:jc w:val="left"/>
      </w:pPr>
      <w:r>
        <w:rPr>
          <w:rFonts w:eastAsia="宋体" w:ascii="Times New Roman" w:hAnsi="Times New Roman" w:cs="Times New Roman"/>
          <w:b w:val="false"/>
          <w:i w:val="false"/>
          <w:sz w:val="22"/>
        </w:rPr>
        <w:t xml:space="preserve">[101] 分众传媒（002027）2025年半年度财务报告深度分析 报 | 2025-09-01 00:34:00 | (https://www.xueqiu.com/2327962924/350196323) </w:t>
      </w:r>
    </w:p>
    <w:p>
      <w:pPr>
        <w:spacing w:line="240" w:lineRule="auto" w:before="120" w:after="120"/>
        <w:ind w:left="0"/>
        <w:jc w:val="left"/>
      </w:pPr>
      <w:r>
        <w:rPr>
          <w:rFonts w:eastAsia="宋体" w:ascii="Times New Roman" w:hAnsi="Times New Roman" w:cs="Times New Roman"/>
          <w:b w:val="false"/>
          <w:i w:val="false"/>
          <w:sz w:val="22"/>
        </w:rPr>
        <w:t xml:space="preserve">[102] 分众传媒2025年上半年报印象 | 2025-09-02 20:25:00 | (https://mp.weixin.qq.com/s/jBISdILoUZakAcYB3mo6FA) </w:t>
      </w:r>
    </w:p>
    <w:p>
      <w:pPr>
        <w:spacing w:line="240" w:lineRule="auto" w:before="120" w:after="120"/>
        <w:ind w:left="0"/>
        <w:jc w:val="left"/>
      </w:pPr>
      <w:r>
        <w:rPr>
          <w:rFonts w:eastAsia="宋体" w:ascii="Times New Roman" w:hAnsi="Times New Roman" w:cs="Times New Roman"/>
          <w:b w:val="false"/>
          <w:i w:val="false"/>
          <w:sz w:val="22"/>
        </w:rPr>
        <w:t xml:space="preserve">[103] 未来值得期待 | 2025-05-30 09:29:00 | (https://xueqiu.com/2614692505/336930570) </w:t>
      </w:r>
    </w:p>
    <w:p>
      <w:pPr>
        <w:spacing w:line="240" w:lineRule="auto" w:before="120" w:after="120"/>
        <w:ind w:left="0"/>
        <w:jc w:val="left"/>
      </w:pPr>
      <w:r>
        <w:rPr>
          <w:rFonts w:eastAsia="宋体" w:ascii="Times New Roman" w:hAnsi="Times New Roman" w:cs="Times New Roman"/>
          <w:b w:val="false"/>
          <w:i w:val="false"/>
          <w:sz w:val="22"/>
        </w:rPr>
        <w:t xml:space="preserve">[104] 分众传媒2025年中报：营收净利双增长，盈利能力显著提升 | 2025-08-31 06:25:00 | (https://m.sohu.com/a/930317983_121956424/?pvid=000115_3w_a) </w:t>
      </w:r>
    </w:p>
    <w:p>
      <w:pPr>
        <w:spacing w:line="240" w:lineRule="auto" w:before="120" w:after="120"/>
        <w:ind w:left="0"/>
        <w:jc w:val="left"/>
      </w:pPr>
      <w:r>
        <w:rPr>
          <w:rFonts w:eastAsia="宋体" w:ascii="Times New Roman" w:hAnsi="Times New Roman" w:cs="Times New Roman"/>
          <w:b w:val="false"/>
          <w:i w:val="false"/>
          <w:sz w:val="22"/>
        </w:rPr>
        <w:t xml:space="preserve">[105] 高盛看好分众传媒维持21倍PE，游戏股盈利上调靠成本控制，宏观疲软下逻辑转向 | 2026-02-22 10:00:00 | (https://mp.weixin.qq.com/s/sAIVrcM2vPMWH8-b6N_n2Q) </w:t>
      </w:r>
    </w:p>
    <w:p>
      <w:pPr>
        <w:spacing w:line="240" w:lineRule="auto" w:before="120" w:after="120"/>
        <w:ind w:left="0"/>
        <w:jc w:val="left"/>
      </w:pPr>
      <w:r>
        <w:rPr>
          <w:rFonts w:eastAsia="宋体" w:ascii="Times New Roman" w:hAnsi="Times New Roman" w:cs="Times New Roman"/>
          <w:b w:val="false"/>
          <w:i w:val="false"/>
          <w:sz w:val="22"/>
        </w:rPr>
        <w:t xml:space="preserve">[106] 分众传媒：2025年净利润29.46亿元，同比减少42.85% | 2026-04-29 07:19:00 </w:t>
      </w:r>
    </w:p>
    <w:p>
      <w:pPr>
        <w:spacing w:line="240" w:lineRule="auto" w:before="120" w:after="120"/>
        <w:ind w:left="0"/>
        <w:jc w:val="left"/>
      </w:pPr>
      <w:r>
        <w:rPr>
          <w:rFonts w:eastAsia="宋体" w:ascii="Times New Roman" w:hAnsi="Times New Roman" w:cs="Times New Roman"/>
          <w:b w:val="false"/>
          <w:i w:val="false"/>
          <w:sz w:val="22"/>
        </w:rPr>
        <w:t xml:space="preserve">[107] 9年狂赚9亿？还呗高息模式遭质疑，股东分众传媒果断抽身？_TMT观察网 | 2026-01-30 01:37:00 | (http://www.looktmt.com/0044/101/66839250359.html) </w:t>
      </w:r>
    </w:p>
    <w:p>
      <w:pPr>
        <w:spacing w:line="240" w:lineRule="auto" w:before="120" w:after="120"/>
        <w:ind w:left="0"/>
        <w:jc w:val="left"/>
      </w:pPr>
      <w:r>
        <w:rPr>
          <w:rFonts w:eastAsia="宋体" w:ascii="Times New Roman" w:hAnsi="Times New Roman" w:cs="Times New Roman"/>
          <w:b w:val="false"/>
          <w:i w:val="false"/>
          <w:sz w:val="22"/>
        </w:rPr>
        <w:t xml:space="preserve">[108] 分众传媒资产减值合理吗？合规合理，不影响长期价值 | 2026-01-24 15:23:26 | (https://m.163.com/dy/article/KK22I0RL0556I2KU.html) </w:t>
      </w:r>
    </w:p>
    <w:p>
      <w:pPr>
        <w:spacing w:line="240" w:lineRule="auto" w:before="120" w:after="120"/>
        <w:ind w:left="0"/>
        <w:jc w:val="left"/>
      </w:pPr>
      <w:r>
        <w:rPr>
          <w:rFonts w:eastAsia="宋体" w:ascii="Times New Roman" w:hAnsi="Times New Roman" w:cs="Times New Roman"/>
          <w:b w:val="false"/>
          <w:i w:val="false"/>
          <w:sz w:val="22"/>
        </w:rPr>
        <w:t xml:space="preserve">[109] 近几年，分众传媒的股价持续处于低迷区间。即便公司依旧保持着稳 | 2026-04-01 19:57:00 | (https://www.xueqiu.com/7157351566/378126704) </w:t>
      </w:r>
    </w:p>
    <w:p>
      <w:pPr>
        <w:spacing w:line="240" w:lineRule="auto" w:before="120" w:after="120"/>
        <w:ind w:left="0"/>
        <w:jc w:val="left"/>
      </w:pPr>
      <w:r>
        <w:rPr>
          <w:rFonts w:eastAsia="宋体" w:ascii="Times New Roman" w:hAnsi="Times New Roman" w:cs="Times New Roman"/>
          <w:b w:val="false"/>
          <w:i w:val="false"/>
          <w:sz w:val="22"/>
        </w:rPr>
        <w:t xml:space="preserve">[110] 如何评价分众卖出数禾科技？一文读懂财务逻辑与业务影响 | 2026-01-24 19:39:30 | (https://i.ifeng.com/c/8qBIGu0ZV30) </w:t>
      </w:r>
    </w:p>
    <w:p>
      <w:pPr>
        <w:spacing w:line="240" w:lineRule="auto" w:before="120" w:after="120"/>
        <w:ind w:left="0"/>
        <w:jc w:val="left"/>
      </w:pPr>
      <w:r>
        <w:rPr>
          <w:rFonts w:eastAsia="宋体" w:ascii="Times New Roman" w:hAnsi="Times New Roman" w:cs="Times New Roman"/>
          <w:b w:val="false"/>
          <w:i w:val="false"/>
          <w:sz w:val="22"/>
        </w:rPr>
        <w:t xml:space="preserve">[111] 分众传媒：通过稳健经营与积极分红的方式回馈投资者-证券日报网-证券日报网 | 2025-12-11 16:28:00 | (http://www.zqrb.cn/gscy/ggkx/2025-12-11/A1765439890469.html) </w:t>
      </w:r>
    </w:p>
    <w:p>
      <w:pPr>
        <w:spacing w:line="240" w:lineRule="auto" w:before="120" w:after="120"/>
        <w:ind w:left="0"/>
        <w:jc w:val="left"/>
      </w:pPr>
      <w:r>
        <w:rPr>
          <w:rFonts w:eastAsia="宋体" w:ascii="Times New Roman" w:hAnsi="Times New Roman" w:cs="Times New Roman"/>
          <w:b w:val="false"/>
          <w:i w:val="false"/>
          <w:sz w:val="22"/>
        </w:rPr>
        <w:t xml:space="preserve">[112] 分众传媒(002027):降本能力突出,关注与"碰一碰"合作及新潮整合进展_爱股网 | 2025-09-01 00:00:00 | (https://www.aigu.cc/ggpj/PJ202509010002GC004S) </w:t>
      </w:r>
    </w:p>
    <w:p>
      <w:pPr>
        <w:spacing w:line="240" w:lineRule="auto" w:before="120" w:after="120"/>
        <w:ind w:left="0"/>
        <w:jc w:val="left"/>
      </w:pPr>
      <w:r>
        <w:rPr>
          <w:rFonts w:eastAsia="宋体" w:ascii="Times New Roman" w:hAnsi="Times New Roman" w:cs="Times New Roman"/>
          <w:b w:val="false"/>
          <w:i w:val="false"/>
          <w:sz w:val="22"/>
        </w:rPr>
        <w:t xml:space="preserve">[113] 分众传媒（002027）与支付宝合作推出的“碰一碰”业务，是 | 2025-09-02 08:53:00 | (https://www.xueqiu.com/3071638983/350418071) </w:t>
      </w:r>
    </w:p>
    <w:p>
      <w:pPr>
        <w:spacing w:line="240" w:lineRule="auto" w:before="120" w:after="120"/>
        <w:ind w:left="0"/>
        <w:jc w:val="left"/>
      </w:pPr>
      <w:r>
        <w:rPr>
          <w:rFonts w:eastAsia="宋体" w:ascii="Times New Roman" w:hAnsi="Times New Roman" w:cs="Times New Roman"/>
          <w:b w:val="false"/>
          <w:i w:val="false"/>
          <w:sz w:val="22"/>
        </w:rPr>
        <w:t xml:space="preserve">[114] 分众传媒(002027)：公司出售数禾资产计提减值损失 | 2026-01-27 08:45:16 | (http://stock.finance.sina.com.cn/stock/go.php/vReport_Show/kind/search/rptid/822793127765/index.phtml) </w:t>
      </w:r>
    </w:p>
    <w:p>
      <w:pPr>
        <w:spacing w:line="240" w:lineRule="auto" w:before="120" w:after="120"/>
        <w:ind w:left="0"/>
        <w:jc w:val="left"/>
      </w:pPr>
      <w:r>
        <w:rPr>
          <w:rFonts w:eastAsia="宋体" w:ascii="Times New Roman" w:hAnsi="Times New Roman" w:cs="Times New Roman"/>
          <w:b w:val="false"/>
          <w:i w:val="false"/>
          <w:sz w:val="22"/>
        </w:rPr>
        <w:t xml:space="preserve">[115] 分众传媒(002027)：数禾减值系一次性非经常影响 不影响公司分红能力 | 2026-01-25 00:00:00 | (https://quote.cfi.cn/ybdata.aspx?id=20260125000268) </w:t>
      </w:r>
    </w:p>
    <w:p>
      <w:pPr>
        <w:spacing w:line="240" w:lineRule="auto" w:before="120" w:after="120"/>
        <w:ind w:left="0"/>
        <w:jc w:val="left"/>
      </w:pPr>
      <w:r>
        <w:rPr>
          <w:rFonts w:eastAsia="宋体" w:ascii="Times New Roman" w:hAnsi="Times New Roman" w:cs="Times New Roman"/>
          <w:b w:val="false"/>
          <w:i w:val="false"/>
          <w:sz w:val="22"/>
        </w:rPr>
        <w:t xml:space="preserve">[116] 再论分众：韧者笃行，从稳健到弹性 | 2025-10-31 00:00:00 | (http://np-annrep-corpus.em/pdf/H3_AP202510311772499613_1.pdf) </w:t>
      </w:r>
    </w:p>
    <w:p>
      <w:pPr>
        <w:spacing w:line="240" w:lineRule="auto" w:before="120" w:after="120"/>
        <w:ind w:left="0"/>
        <w:jc w:val="left"/>
      </w:pPr>
      <w:r>
        <w:rPr>
          <w:rFonts w:eastAsia="宋体" w:ascii="Times New Roman" w:hAnsi="Times New Roman" w:cs="Times New Roman"/>
          <w:b w:val="false"/>
          <w:i w:val="false"/>
          <w:sz w:val="22"/>
        </w:rPr>
        <w:t xml:space="preserve">[117] 分众传媒入选《时代》2026年“亚太地区最佳企业” | 2026-03-11 20:10:51 </w:t>
      </w:r>
    </w:p>
    <w:p>
      <w:pPr>
        <w:spacing w:line="240" w:lineRule="auto" w:before="120" w:after="120"/>
        <w:ind w:left="0"/>
        <w:jc w:val="left"/>
      </w:pPr>
      <w:r>
        <w:rPr>
          <w:rFonts w:eastAsia="宋体" w:ascii="Times New Roman" w:hAnsi="Times New Roman" w:cs="Times New Roman"/>
          <w:b w:val="false"/>
          <w:i w:val="false"/>
          <w:sz w:val="22"/>
        </w:rPr>
        <w:t xml:space="preserve">[118] 分众传媒行业分析报告 | 2025-07-16 16:30:00 | (https://www.xueqiu.com/3376812359/342806101) </w:t>
      </w:r>
    </w:p>
    <w:p>
      <w:pPr>
        <w:spacing w:line="240" w:lineRule="auto" w:before="120" w:after="120"/>
        <w:ind w:left="0"/>
        <w:jc w:val="left"/>
      </w:pPr>
      <w:r>
        <w:rPr>
          <w:rFonts w:eastAsia="宋体" w:ascii="Times New Roman" w:hAnsi="Times New Roman" w:cs="Times New Roman"/>
          <w:b w:val="false"/>
          <w:i w:val="false"/>
          <w:sz w:val="22"/>
        </w:rPr>
        <w:t xml:space="preserve">[119] 分众传媒江南春：AI技术+情绪价值成为品牌传播核心力量 | 2026-01-16 01:59:50 </w:t>
      </w:r>
    </w:p>
    <w:p>
      <w:pPr>
        <w:spacing w:line="240" w:lineRule="auto" w:before="120" w:after="120"/>
        <w:ind w:left="0"/>
        <w:jc w:val="left"/>
      </w:pPr>
      <w:r>
        <w:rPr>
          <w:rFonts w:eastAsia="宋体" w:ascii="Times New Roman" w:hAnsi="Times New Roman" w:cs="Times New Roman"/>
          <w:b w:val="false"/>
          <w:i w:val="false"/>
          <w:sz w:val="22"/>
        </w:rPr>
        <w:t xml:space="preserve">[120] 一、财务表现：营收利润稳健增长，现金流与ROE持续优化 分众 | 2025-10-30 16:52:00 | (https://www.xueqiu.com/8746501154/359084958) </w:t>
      </w:r>
    </w:p>
    <w:p>
      <w:pPr>
        <w:spacing w:line="240" w:lineRule="auto" w:before="120" w:after="120"/>
        <w:ind w:left="0"/>
        <w:jc w:val="left"/>
      </w:pPr>
      <w:r>
        <w:rPr>
          <w:rFonts w:eastAsia="宋体" w:ascii="Times New Roman" w:hAnsi="Times New Roman" w:cs="Times New Roman"/>
          <w:b w:val="false"/>
          <w:i w:val="false"/>
          <w:sz w:val="22"/>
        </w:rPr>
        <w:t xml:space="preserve">[121] 分众传媒三事评析 | 2025-07-27 15:47:00 | (https://xueqiu.com/4931617918/344322642) </w:t>
      </w:r>
    </w:p>
    <w:p>
      <w:pPr>
        <w:spacing w:line="240" w:lineRule="auto" w:before="120" w:after="120"/>
        <w:ind w:left="0"/>
        <w:jc w:val="left"/>
      </w:pPr>
      <w:r>
        <w:rPr>
          <w:rFonts w:eastAsia="宋体" w:ascii="Times New Roman" w:hAnsi="Times New Roman" w:cs="Times New Roman"/>
          <w:b w:val="false"/>
          <w:i w:val="false"/>
          <w:sz w:val="22"/>
        </w:rPr>
        <w:t xml:space="preserve">[122] 分众传媒 | 2025-08-23 23:22:00 | (https://mp.weixin.qq.com/s/yDH3TmCXzsrWuX0rHUeMpQ) </w:t>
      </w:r>
    </w:p>
    <w:p>
      <w:pPr>
        <w:spacing w:line="240" w:lineRule="auto" w:before="120" w:after="120"/>
        <w:ind w:left="0"/>
        <w:jc w:val="left"/>
      </w:pPr>
      <w:r>
        <w:rPr>
          <w:rFonts w:eastAsia="宋体" w:ascii="Times New Roman" w:hAnsi="Times New Roman" w:cs="Times New Roman"/>
          <w:b w:val="false"/>
          <w:i w:val="false"/>
          <w:sz w:val="22"/>
        </w:rPr>
        <w:t xml:space="preserve">[123] 8月6日晚，分众传媒披露发行股份及支付现金购买资产报告书草案 | 2025-08-07 09:33:00 | (https://www.xueqiu.com/7733498967/345905924) </w:t>
      </w:r>
    </w:p>
    <w:p>
      <w:pPr>
        <w:spacing w:line="240" w:lineRule="auto" w:before="120" w:after="120"/>
        <w:ind w:left="0"/>
        <w:jc w:val="left"/>
      </w:pPr>
      <w:r>
        <w:rPr>
          <w:rFonts w:eastAsia="宋体" w:ascii="Times New Roman" w:hAnsi="Times New Roman" w:cs="Times New Roman"/>
          <w:b w:val="false"/>
          <w:i w:val="false"/>
          <w:sz w:val="22"/>
        </w:rPr>
        <w:t xml:space="preserve">[124] 分众传媒收购新潮已成定局！电梯广告龙头分众传媒的投资逻辑是什么？ | 2025-10-17 16:56:00 | (https://mp.weixin.qq.com/s/gTMEE8eFh6g-9SDNLpvjIA) </w:t>
      </w:r>
    </w:p>
    <w:sectPr>
      <w:footerReference w:type="default" r:id="rId3"/>
    </w:sectPr>
  </w:body>
</w:document>
</file>

<file path=word/footer1.xml><?xml version="1.0" encoding="utf-8"?>
<w:ftr xmlns:w="http://schemas.openxmlformats.org/wordprocessingml/2006/main">
  <w:p>
    <w:pPr>
      <w:jc w:val="center"/>
    </w:pPr>
  </w:p>
  <w:p>
    <w:pPr>
      <w:pBdr>
        <w:bottom w:val="thick"/>
      </w:pBdr>
      <w:spacing w:after="200"/>
    </w:pPr>
  </w:p>
  <w:p>
    <w:pPr>
      <w:jc w:val="center"/>
    </w:pPr>
    <w:r>
      <w:t>文件由【AI研究员】模块自动生成，更详细的信息请登录Choice金融终端</w:t>
    </w:r>
  </w:p>
  <w:p>
    <w:pPr>
      <w:jc w:val="center"/>
    </w:pPr>
    <w:r>
      <w:t>第</w:t>
    </w:r>
    <w:r>
      <w:fldChar w:fldCharType="begin"/>
    </w:r>
    <w:r>
      <w:instrText> PAGE \* MERGEFORMAT </w:instrText>
    </w:r>
    <w:r>
      <w:fldChar w:fldCharType="separate"/>
    </w:r>
    <w:r>
      <w:t>1</w:t>
    </w:r>
    <w:r>
      <w:fldChar w:fldCharType="end"/>
    </w:r>
    <w:r>
      <w:t>页</w:t>
    </w:r>
  </w:p>
</w:ftr>
</file>

<file path=word/numbering.xml><?xml version="1.0" encoding="utf-8"?>
<w:numbering xmlns:w="http://schemas.openxmlformats.org/wordprocessingml/2006/main">
  <w:abstractNum w:abstractNumId="0">
    <w:lvl w:ilvl="0">
      <w:start w:val="1"/>
      <w:numFmt w:val="bullet"/>
      <w:lvlText w:val="•"/>
      <w:lvlJc w:val="left"/>
    </w:lvl>
    <w:lvl w:ilvl="1">
      <w:start w:val="1"/>
      <w:numFmt w:val="bullet"/>
      <w:lvlText w:val="◦"/>
      <w:lvlJc w:val="left"/>
      <w:pPr>
        <w:ind w:left="720"/>
      </w:pPr>
    </w:lvl>
    <w:lvl w:ilvl="2">
      <w:start w:val="2"/>
      <w:numFmt w:val="bullet"/>
      <w:lvlText w:val="▪"/>
      <w:lvlJc w:val="left"/>
      <w:pPr>
        <w:ind w:left="1440"/>
      </w:pPr>
    </w:lvl>
  </w:abstractNum>
  <w:num w:numId="1">
    <w:abstractNumId w:val="0"/>
  </w:num>
</w:numbering>
</file>

<file path=word/settings.xml><?xml version="1.0" encoding="utf-8"?>
<w:settings xmlns:w="http://schemas.openxmlformats.org/wordprocessingml/2006/main"/>
</file>

<file path=word/styles.xml><?xml version="1.0" encoding="utf-8"?>
<w:styles xmlns:w="http://schemas.openxmlformats.org/wordprocessingml/2006/main">
  <w:style w:styleId="EM_H1_STYLE" w:type="paragraph">
    <w:name w:val="EM-标题1"/>
    <w:pPr>
      <w:outlineLvl w:val="0"/>
    </w:pPr>
    <w:rPr>
      <w:rFonts w:hAnsi="宋体" w:ascii="宋体"/>
      <w:b w:val="true"/>
      <w:sz w:val="18"/>
      <w:szCs w:val="18"/>
    </w:rPr>
  </w:style>
  <w:style w:styleId="EM_H2_STYLE" w:type="paragraph">
    <w:name w:val="EM-标题2"/>
    <w:pPr>
      <w:outlineLvl w:val="1"/>
    </w:pPr>
    <w:rPr>
      <w:rFonts w:hAnsi="宋体" w:ascii="宋体"/>
      <w:b w:val="true"/>
      <w:sz w:val="14"/>
      <w:szCs w:val="14"/>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footer1.xml" Type="http://schemas.openxmlformats.org/officeDocument/2006/relationships/footer"/><Relationship Id="rId4"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2026-04-29T01:20:55Z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Label":"1","ContentProducer":"001191310000771458474500000","ProduceID":"MzRmN2Q0YWItNDViMi00ZmRjLTkwNDYtZGYxM2QyMzc1MDQ2","ReservedCode1":"{\"SecurityData\":{\"Type\":\"TC260PG\",\"Version\":1,\"Bindings\":[{\"Type\":\"Hash\",\"ID\":\"1\",\"AlgId\":\"1.2.156.10197.1.401\",\"Value\":\"7be28ccb5948828126165489778078b361869eb5ea8213824e7f5211ea26cabd\"}],\"PubSD\":[{\"Type\":\"DS\",\"AlgID\":\"1.2.156.10197.1.501\",\"TBSData\":[{\"Type\":\"Binding\",\"ID\":\"1\"},{\"Type\":\"LabelMetadata\"}],\"Signature\":\"3046022100e66339212b6056df46b0c101484a64aceb61b4a5aa68f627edff2ca14641a0c30221009b91143196f5d388313a0dd4a77d8f71e0fe379a0e0caad357730f448990c45f\"},{\"Type\":\"PubKey\",\"AlgID\":\"1.2.156.10197.1.501\",\"KeyValue\":\" 04e238309e60cc2884cef29d4dbe30958133b03d21586c6e7d6c01291a78477a8c27e16f8500444db9a3035f8241cd36841a22ffc44216d03ef06c31b75e826c35\"}]}}","ContentPropagator":"001191310000771458474500000","PropagateID":"MzRmN2Q0YWItNDViMi00ZmRjLTkwNDYtZGYxM2QyMzc1MDQ2","ReservedCode2":"{\"SecurityData\":{\"Type\":\"TC260PG\",\"Version\":1,\"Bindings\":[{\"Type\":\"Hash\",\"ID\":\"1\",\"AlgId\":\"1.2.156.10197.1.401\",\"Value\":\"7be28ccb5948828126165489778078b361869eb5ea8213824e7f5211ea26cabd\"}],\"PubSD\":[{\"Type\":\"DS\",\"AlgID\":\"1.2.156.10197.1.501\",\"TBSData\":[{\"Type\":\"Binding\",\"ID\":\"1\"},{\"Type\":\"LabelMetadata\"}],\"Signature\":\"3046022100e66339212b6056df46b0c101484a64aceb61b4a5aa68f627edff2ca14641a0c30221009b91143196f5d388313a0dd4a77d8f71e0fe379a0e0caad357730f448990c45f\"},{\"Type\":\"PubKey\",\"AlgID\":\"1.2.156.10197.1.501\",\"KeyValue\":\" 04e238309e60cc2884cef29d4dbe30958133b03d21586c6e7d6c01291a78477a8c27e16f8500444db9a3035f8241cd36841a22ffc44216d03ef06c31b75e826c35\"}]}}"}</vt:lpwstr>
  </property>
</Properties>
</file>