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BF8C" w14:textId="77777777" w:rsidR="00C20BF1" w:rsidRPr="00C20BF1" w:rsidRDefault="00C20BF1" w:rsidP="00C20BF1">
      <w:pPr>
        <w:widowControl w:val="0"/>
        <w:autoSpaceDE w:val="0"/>
        <w:autoSpaceDN w:val="0"/>
        <w:spacing w:before="60" w:after="0" w:line="276" w:lineRule="auto"/>
        <w:ind w:right="12"/>
        <w:jc w:val="center"/>
        <w:outlineLvl w:val="0"/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  <w:t>Inovação,</w:t>
      </w:r>
      <w:r w:rsidRPr="00C20BF1">
        <w:rPr>
          <w:rFonts w:ascii="Arial" w:eastAsia="Arial" w:hAnsi="Arial" w:cs="Arial"/>
          <w:b/>
          <w:bCs/>
          <w:spacing w:val="-5"/>
          <w:kern w:val="0"/>
          <w:sz w:val="52"/>
          <w:szCs w:val="52"/>
          <w:lang w:val="pt-PT"/>
          <w14:ligatures w14:val="none"/>
        </w:rPr>
        <w:t xml:space="preserve"> </w:t>
      </w:r>
      <w:r w:rsidRPr="00C20BF1"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  <w:t>Sustentabilidade</w:t>
      </w:r>
      <w:r w:rsidRPr="00C20BF1">
        <w:rPr>
          <w:rFonts w:ascii="Arial" w:eastAsia="Arial" w:hAnsi="Arial" w:cs="Arial"/>
          <w:b/>
          <w:bCs/>
          <w:spacing w:val="-5"/>
          <w:kern w:val="0"/>
          <w:sz w:val="52"/>
          <w:szCs w:val="52"/>
          <w:lang w:val="pt-PT"/>
          <w14:ligatures w14:val="none"/>
        </w:rPr>
        <w:t xml:space="preserve"> </w:t>
      </w:r>
      <w:r w:rsidRPr="00C20BF1"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  <w:t>e Competitividade</w:t>
      </w:r>
      <w:r w:rsidRPr="00C20BF1">
        <w:rPr>
          <w:rFonts w:ascii="Arial" w:eastAsia="Arial" w:hAnsi="Arial" w:cs="Arial"/>
          <w:b/>
          <w:bCs/>
          <w:spacing w:val="-17"/>
          <w:kern w:val="0"/>
          <w:sz w:val="52"/>
          <w:szCs w:val="52"/>
          <w:lang w:val="pt-PT"/>
          <w14:ligatures w14:val="none"/>
        </w:rPr>
        <w:t xml:space="preserve"> </w:t>
      </w:r>
      <w:r w:rsidRPr="00C20BF1">
        <w:rPr>
          <w:rFonts w:ascii="Arial" w:eastAsia="Arial" w:hAnsi="Arial" w:cs="Arial"/>
          <w:b/>
          <w:bCs/>
          <w:spacing w:val="-2"/>
          <w:kern w:val="0"/>
          <w:sz w:val="52"/>
          <w:szCs w:val="52"/>
          <w:lang w:val="pt-PT"/>
          <w14:ligatures w14:val="none"/>
        </w:rPr>
        <w:t>Empresarial</w:t>
      </w:r>
    </w:p>
    <w:p w14:paraId="3AFC0DAA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72A50840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403A62C1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noProof/>
          <w:kern w:val="0"/>
          <w:sz w:val="36"/>
          <w:szCs w:val="36"/>
          <w:lang w:val="pt-PT"/>
          <w14:ligatures w14:val="none"/>
        </w:rPr>
        <w:drawing>
          <wp:inline distT="0" distB="0" distL="0" distR="0" wp14:anchorId="0CF70A3B" wp14:editId="7C503F6A">
            <wp:extent cx="3348990" cy="969645"/>
            <wp:effectExtent l="0" t="0" r="3810" b="1905"/>
            <wp:docPr id="1422991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B6859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540ED6D4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58545B34" w14:textId="4465DE6F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Aluno</w:t>
      </w: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s</w:t>
      </w:r>
      <w:r w:rsidRPr="00C20BF1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: Nathan Anaquim Procaccia</w:t>
      </w:r>
    </w:p>
    <w:p w14:paraId="373BD214" w14:textId="61E582CE" w:rsid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RA: 823117175</w:t>
      </w:r>
    </w:p>
    <w:p w14:paraId="65EE2141" w14:textId="77777777" w:rsidR="00C65BE4" w:rsidRDefault="00C65BE4" w:rsidP="00C65BE4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Matheus Bueno </w:t>
      </w:r>
      <w:proofErr w:type="spellStart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Neri</w:t>
      </w:r>
      <w:proofErr w:type="spellEnd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 de </w:t>
      </w:r>
      <w:proofErr w:type="spellStart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Araujo</w:t>
      </w:r>
      <w:proofErr w:type="spellEnd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 </w:t>
      </w:r>
    </w:p>
    <w:p w14:paraId="7B7E98F2" w14:textId="77777777" w:rsidR="00C65BE4" w:rsidRDefault="00C65BE4" w:rsidP="00C65BE4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RA: 822160370</w:t>
      </w:r>
    </w:p>
    <w:p w14:paraId="42BE700E" w14:textId="77777777" w:rsidR="00C65BE4" w:rsidRDefault="00C65BE4" w:rsidP="00C65BE4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Victor França </w:t>
      </w:r>
    </w:p>
    <w:p w14:paraId="1EDD918B" w14:textId="77777777" w:rsidR="00C65BE4" w:rsidRDefault="00C65BE4" w:rsidP="00C65BE4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RA: </w:t>
      </w:r>
      <w:r w:rsidRPr="00966169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824122809</w:t>
      </w:r>
    </w:p>
    <w:p w14:paraId="5DD390CB" w14:textId="1FCC4CBC" w:rsid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3CD7F885" w14:textId="77777777" w:rsidR="00C20BF1" w:rsidRDefault="00C20BF1">
      <w:pP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br w:type="page"/>
      </w:r>
    </w:p>
    <w:p w14:paraId="017032E8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b/>
          <w:bCs/>
          <w:kern w:val="0"/>
          <w:sz w:val="32"/>
          <w:szCs w:val="32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32"/>
          <w:szCs w:val="32"/>
          <w14:ligatures w14:val="none"/>
        </w:rPr>
        <w:lastRenderedPageBreak/>
        <w:t>1. O que é e o que faz a GRI – Global Reporting Initiative</w:t>
      </w:r>
    </w:p>
    <w:p w14:paraId="2027E1B2" w14:textId="1D2DCF23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A Global Reporting Initiative (GRI) é uma organização internacional independente criada em 1997 com o objetivo de desenvolver padrões globais para relatórios de sustentabilidade corporativa. A instituição surgiu para ajudar empresas, governos e organizações a divulgar de forma transparente seus impactos econômicos, ambientais e sociais.</w:t>
      </w:r>
    </w:p>
    <w:p w14:paraId="350A1C8B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Os padrões da GRI são considerados atualmente um dos principais referenciais internacionais para elaboração de relatórios de sustentabilidade. Esses relatórios permitem que empresas comuniquem aos stakeholders — como investidores, governos, consumidores e sociedade — quais são seus impactos e como estão gerenciando questões relacionadas ao desenvolvimento sustentável.</w:t>
      </w:r>
    </w:p>
    <w:p w14:paraId="5FF5C0C8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De acordo com a própria organização, os GRI Standards ajudam organizações a medir e divulgar informações relacionadas a temas como mudanças climáticas, uso de recursos naturais, direitos humanos, governança corporativa e responsabilidade social. O objetivo é aumentar a transparência e incentivar práticas empresariais mais responsáveis.</w:t>
      </w:r>
    </w:p>
    <w:p w14:paraId="71F1B303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Uma das principais funções da GRI é padronizar indicadores de sustentabilidade. Isso permite que empresas de diferentes países e setores possam ser comparadas em relação ao seu desempenho ambiental, social e de governança (ESG). Dessa forma, investidores e a sociedade conseguem avaliar melhor o impacto das organizações.</w:t>
      </w:r>
    </w:p>
    <w:p w14:paraId="606D6BAE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Atualmente milhares de empresas no mundo utilizam os padrões da GRI para elaborar seus relatórios de sustentabilidade. Grandes corporações globais e também empresas brasileiras adotam esse modelo como forma de demonstrar compromisso com responsabilidade socioambiental.</w:t>
      </w:r>
    </w:p>
    <w:p w14:paraId="60C8DA23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Entre as atividades da GRI destacam-se:</w:t>
      </w:r>
    </w:p>
    <w:p w14:paraId="14654816" w14:textId="77777777" w:rsidR="00C20BF1" w:rsidRPr="00C20BF1" w:rsidRDefault="00C20BF1" w:rsidP="00C20BF1">
      <w:pPr>
        <w:pStyle w:val="PargrafodaLista"/>
        <w:widowControl w:val="0"/>
        <w:numPr>
          <w:ilvl w:val="0"/>
          <w:numId w:val="3"/>
        </w:numPr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Desenvolvimento de padrões globais de relatórios de sustentabilidade</w:t>
      </w:r>
    </w:p>
    <w:p w14:paraId="0C8B1F87" w14:textId="77777777" w:rsidR="00C20BF1" w:rsidRPr="00C20BF1" w:rsidRDefault="00C20BF1" w:rsidP="00C20BF1">
      <w:pPr>
        <w:pStyle w:val="PargrafodaLista"/>
        <w:widowControl w:val="0"/>
        <w:numPr>
          <w:ilvl w:val="0"/>
          <w:numId w:val="3"/>
        </w:numPr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Apoio a empresas na divulgação de impactos ESG</w:t>
      </w:r>
    </w:p>
    <w:p w14:paraId="504545F9" w14:textId="77777777" w:rsidR="00C20BF1" w:rsidRPr="00C20BF1" w:rsidRDefault="00C20BF1" w:rsidP="00C20BF1">
      <w:pPr>
        <w:pStyle w:val="PargrafodaLista"/>
        <w:widowControl w:val="0"/>
        <w:numPr>
          <w:ilvl w:val="0"/>
          <w:numId w:val="3"/>
        </w:numPr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Promoção da transparência corporativa</w:t>
      </w:r>
    </w:p>
    <w:p w14:paraId="0C9A49B0" w14:textId="77777777" w:rsidR="00C20BF1" w:rsidRPr="00C20BF1" w:rsidRDefault="00C20BF1" w:rsidP="00C20BF1">
      <w:pPr>
        <w:pStyle w:val="PargrafodaLista"/>
        <w:widowControl w:val="0"/>
        <w:numPr>
          <w:ilvl w:val="0"/>
          <w:numId w:val="3"/>
        </w:numPr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Incentivo à responsabilidade socioambiental empresarial</w:t>
      </w:r>
    </w:p>
    <w:p w14:paraId="16098B74" w14:textId="77777777" w:rsidR="00C20BF1" w:rsidRDefault="00C20BF1" w:rsidP="00C20BF1">
      <w:pPr>
        <w:pStyle w:val="PargrafodaLista"/>
        <w:widowControl w:val="0"/>
        <w:numPr>
          <w:ilvl w:val="0"/>
          <w:numId w:val="3"/>
        </w:numPr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Contribuição para os Objetivos de Desenvolvimento Sustentável (ODS)</w:t>
      </w:r>
    </w:p>
    <w:p w14:paraId="23D25C11" w14:textId="77777777" w:rsid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</w:p>
    <w:p w14:paraId="0737A28F" w14:textId="13071810" w:rsidR="00C20BF1" w:rsidRDefault="00C20BF1" w:rsidP="00C20BF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kern w:val="0"/>
          <w14:ligatures w14:val="none"/>
        </w:rPr>
      </w:pPr>
      <w:r w:rsidRPr="00C20BF1">
        <w:rPr>
          <w:rFonts w:ascii="Arial" w:eastAsia="Arial" w:hAnsi="Arial" w:cs="Arial"/>
          <w:kern w:val="0"/>
          <w14:ligatures w14:val="none"/>
        </w:rPr>
        <w:t>Assim, a GRI desempenha um papel importante no fortalecimento da governança corporativa e na promoção de práticas empresariais mais sustentáveis e transparentes em escala global.</w:t>
      </w:r>
    </w:p>
    <w:p w14:paraId="1232DE2E" w14:textId="77777777" w:rsidR="00C20BF1" w:rsidRDefault="00C20BF1">
      <w:pPr>
        <w:rPr>
          <w:rFonts w:ascii="Arial" w:eastAsia="Arial" w:hAnsi="Arial" w:cs="Arial"/>
          <w:kern w:val="0"/>
          <w14:ligatures w14:val="none"/>
        </w:rPr>
      </w:pPr>
      <w:r>
        <w:rPr>
          <w:rFonts w:ascii="Arial" w:eastAsia="Arial" w:hAnsi="Arial" w:cs="Arial"/>
          <w:kern w:val="0"/>
          <w14:ligatures w14:val="none"/>
        </w:rPr>
        <w:br w:type="page"/>
      </w:r>
    </w:p>
    <w:p w14:paraId="0270B682" w14:textId="77777777" w:rsidR="00C20BF1" w:rsidRDefault="00C20BF1" w:rsidP="00C20BF1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FC7CD7">
        <w:rPr>
          <w:rFonts w:ascii="Arial" w:hAnsi="Arial" w:cs="Arial"/>
          <w:b/>
          <w:bCs/>
          <w:sz w:val="32"/>
          <w:szCs w:val="32"/>
        </w:rPr>
        <w:lastRenderedPageBreak/>
        <w:t>Referência</w:t>
      </w:r>
    </w:p>
    <w:p w14:paraId="4A7559E9" w14:textId="470769C0" w:rsidR="00C20BF1" w:rsidRPr="00C20BF1" w:rsidRDefault="00C20BF1" w:rsidP="00C20BF1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kern w:val="0"/>
          <w14:ligatures w14:val="none"/>
        </w:rPr>
        <w:br/>
      </w:r>
      <w:r w:rsidRPr="00C20BF1">
        <w:rPr>
          <w:rFonts w:ascii="Arial" w:eastAsia="Arial" w:hAnsi="Arial" w:cs="Arial"/>
          <w:kern w:val="0"/>
          <w14:ligatures w14:val="none"/>
        </w:rPr>
        <w:t>https://www.globalreporting.org/</w:t>
      </w:r>
    </w:p>
    <w:p w14:paraId="1CF0EDF5" w14:textId="77777777" w:rsidR="00C20BF1" w:rsidRPr="00C20BF1" w:rsidRDefault="00C20BF1" w:rsidP="00C20BF1">
      <w:pPr>
        <w:widowControl w:val="0"/>
        <w:autoSpaceDE w:val="0"/>
        <w:autoSpaceDN w:val="0"/>
        <w:spacing w:before="64" w:after="0" w:line="254" w:lineRule="auto"/>
        <w:ind w:left="720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4DF6451B" w14:textId="77777777" w:rsidR="00C20BF1" w:rsidRDefault="00C20BF1"/>
    <w:sectPr w:rsidR="00C20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477B"/>
    <w:multiLevelType w:val="hybridMultilevel"/>
    <w:tmpl w:val="0F56D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01D52"/>
    <w:multiLevelType w:val="multilevel"/>
    <w:tmpl w:val="14C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46407"/>
    <w:multiLevelType w:val="multilevel"/>
    <w:tmpl w:val="3A8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107446">
    <w:abstractNumId w:val="1"/>
  </w:num>
  <w:num w:numId="2" w16cid:durableId="1349019536">
    <w:abstractNumId w:val="2"/>
  </w:num>
  <w:num w:numId="3" w16cid:durableId="47954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F1"/>
    <w:rsid w:val="008F5324"/>
    <w:rsid w:val="00C20BF1"/>
    <w:rsid w:val="00C6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2089B"/>
  <w15:chartTrackingRefBased/>
  <w15:docId w15:val="{6777C714-1265-4BEB-B1FE-D847B9F3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2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2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2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2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2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2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2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2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2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2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2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2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20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20BF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20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20B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20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20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2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2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2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2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2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20B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0B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20B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2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20BF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20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Anaquim Procaccia</dc:creator>
  <cp:keywords/>
  <dc:description/>
  <cp:lastModifiedBy>Nathan Anaquim Procaccia</cp:lastModifiedBy>
  <cp:revision>2</cp:revision>
  <dcterms:created xsi:type="dcterms:W3CDTF">2026-03-05T22:22:00Z</dcterms:created>
  <dcterms:modified xsi:type="dcterms:W3CDTF">2026-03-06T00:30:00Z</dcterms:modified>
</cp:coreProperties>
</file>