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Aptos" w:hAnsi="Aptos"/>
          <w:b/>
          <w:i w:val="0"/>
          <w:color w:val="C55A11"/>
          <w:sz w:val="18"/>
        </w:rPr>
        <w:t>PROPUESTA COMERCIAL</w:t>
      </w:r>
    </w:p>
    <w:p>
      <w:pPr>
        <w:pStyle w:val="Title"/>
        <w:keepNext/>
        <w:spacing w:after="80"/>
      </w:pPr>
      <w:r>
        <w:rPr>
          <w:rFonts w:ascii="Aptos Display" w:hAnsi="Aptos Display"/>
          <w:b/>
          <w:i w:val="0"/>
          <w:color w:val="000000"/>
          <w:sz w:val="48"/>
        </w:rPr>
        <w:t>Plataforma de Gestión para Kermesses</w:t>
      </w:r>
    </w:p>
    <w:p>
      <w:pPr>
        <w:spacing w:after="280"/>
      </w:pPr>
      <w:r>
        <w:rPr>
          <w:rFonts w:ascii="Aptos" w:hAnsi="Aptos"/>
          <w:b w:val="0"/>
          <w:i w:val="0"/>
          <w:color w:val="000000"/>
          <w:sz w:val="22"/>
        </w:rPr>
        <w:t>Propuesta para Saint Andrew’s School y futuras organizaciones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Referencia</w:t>
            </w:r>
          </w:p>
        </w:tc>
        <w:tc>
          <w:tcPr>
            <w:tcW w:type="dxa" w:w="657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Organización de referencia</w:t>
            </w:r>
          </w:p>
        </w:tc>
        <w:tc>
          <w:tcPr>
            <w:tcW w:type="dxa" w:w="657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Saint Andrew’s School</w:t>
            </w:r>
          </w:p>
        </w:tc>
      </w:tr>
      <w:tr>
        <w:tc>
          <w:tcPr>
            <w:tcW w:type="dxa" w:w="2835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Primer evento</w:t>
            </w:r>
          </w:p>
        </w:tc>
        <w:tc>
          <w:tcPr>
            <w:tcW w:type="dxa" w:w="657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Kermesse Halloween 2026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Plazo de implementación</w:t>
            </w:r>
          </w:p>
        </w:tc>
        <w:tc>
          <w:tcPr>
            <w:tcW w:type="dxa" w:w="657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 mes</w:t>
            </w:r>
          </w:p>
        </w:tc>
      </w:tr>
      <w:tr>
        <w:tc>
          <w:tcPr>
            <w:tcW w:type="dxa" w:w="2835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657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26 de octubre de 2026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Propuesta y alcance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Se propone una plataforma para que una organización administre todas sus kermesses desde un solo lugar. Cada organización podrá crear varios eventos, nombrar responsables diferentes para cada uno y conservar el historial sin mezclar información, ventas ni permisos.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primera implementación se configura para Saint Andrew’s School y la Kermesse Halloween 2026. La estructura queda preparada para que el colegio organice nuevos eventos en los próximos años o para que otras organizaciones utilicen la misma plataforma de forma independiente.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Modelo de trabajo multievento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649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Qué administra</w:t>
            </w:r>
          </w:p>
        </w:tc>
        <w:tc>
          <w:tcPr>
            <w:tcW w:type="dxa" w:w="294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Organización</w:t>
            </w:r>
          </w:p>
        </w:tc>
        <w:tc>
          <w:tcPr>
            <w:tcW w:type="dxa" w:w="464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Datos institucionales, administradores principales y todos sus eventos.</w:t>
            </w:r>
          </w:p>
        </w:tc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Saint Andrew’s School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Evento</w:t>
            </w:r>
          </w:p>
        </w:tc>
        <w:tc>
          <w:tcPr>
            <w:tcW w:type="dxa" w:w="464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Productos, precios, responsables, gastos, ventas, QR y reportes propios.</w:t>
            </w:r>
          </w:p>
        </w:tc>
        <w:tc>
          <w:tcPr>
            <w:tcW w:type="dxa" w:w="294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Kermesse Halloween 2026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Equipo del evento</w:t>
            </w:r>
          </w:p>
        </w:tc>
        <w:tc>
          <w:tcPr>
            <w:tcW w:type="dxa" w:w="464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Permisos limitados al área o a la tarea asignada dentro del evento.</w:t>
            </w:r>
          </w:p>
        </w:tc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Gastronomía, caja, validación QR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Aptos" w:hAnsi="Aptos"/>
          <w:b/>
          <w:i w:val="0"/>
          <w:color w:val="000000"/>
          <w:sz w:val="20"/>
        </w:rPr>
        <w:t xml:space="preserve">Principio de acceso: </w:t>
      </w:r>
      <w:r>
        <w:rPr>
          <w:rFonts w:ascii="Aptos" w:hAnsi="Aptos"/>
          <w:b w:val="0"/>
          <w:i w:val="0"/>
          <w:color w:val="000000"/>
          <w:sz w:val="20"/>
        </w:rPr>
        <w:t>una persona no verá todos los eventos por defecto. Solo accederá a los eventos en los que la organización le otorgue un permiso.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Responsables y permisos por evento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Cada kermesse tendrá su propio equipo. Un mismo responsable puede participar en varios eventos con roles distintos. Por ejemplo, una persona puede administrar la Kermesse Halloween 2026 y solamente consultar una kermesse de años anteriores.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92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476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Permisos principales</w:t>
            </w:r>
          </w:p>
        </w:tc>
        <w:tc>
          <w:tcPr>
            <w:tcW w:type="dxa" w:w="272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Alcance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 de organización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Crear eventos, nombrar responsables, consultar resultados y configurar la organización.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Todos los eventos de su organización.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 de evento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Gestionar productos, precios, equipos, gastos, preventas y reportes.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asignado.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 financiero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Registrar y aprobar inversiones, gastos, caja y reportes económicos.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asignado.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 de ventas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Gestionar ventas asistidas, QR de equipos, comprobantes y pedidos.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y puesto asignado.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Operador y validador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Registrar venta, escanear boleto QR y confirmar entrega.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y puesto asignado.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histórica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Revisar resultados, gastos, ventas y reportes sin modificar datos.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Eventos anteriores autorizados.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Acceso a eventos anteriores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Los responsables anteriores conservarán acceso únicamente a los eventos que la organización les permita consultar. El administrador podrá cambiar un acceso de edición a consulta, retirar el acceso o habilitarlo nuevamente. Esto permite mantener el historial disponible sin exponer la operación actual a personas que ya no participan.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Historial separado por evento: ventas, gastos, responsables, boletos y reportes permanecen asociados a su kermesse.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Trazabilidad: el sistema registra qué responsable creó, aprobó, validó o modificó una operación relevante.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Continuidad: la organización puede reutilizar productos, equipos y responsables al crear una nueva kermesse.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Módulos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71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Funcionalidad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Organización y eventos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Creación de organizaciones, múltiples kermesses, fechas, estado, enlace público y configuración por evento.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 y accesos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Responsables por evento, roles, permisos específicos, acceso histórico y auditoría de acciones.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Productos y disponibilidad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Platos, bebidas, precio, cantidad planificada, publicación y control de disponibilidad.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Inversión y gastos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Insumos, costos, proveedores, gastos operativos, responsables y comprobantes opcionales.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Ventas y preventa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 por operador, preventa web, pedidos, datos mínimos del comprador y estados de orden.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Pagos y QR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bancario, QR por equipo vendedor, validación de comprobantes y seguimiento de pagos.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Boletos y canje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Boleto digital QR, envío por correo, lectura móvil, control de uso único y registro de entrega.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Reportes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Ventas, ingresos, gastos, inversión, productos, pagos pendientes, canjes y resultado por evento.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Flujos de venta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3969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Experiencia del comprador</w:t>
            </w:r>
          </w:p>
        </w:tc>
        <w:tc>
          <w:tcPr>
            <w:tcW w:type="dxa" w:w="36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 del equipo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 asistida</w:t>
            </w:r>
          </w:p>
        </w:tc>
        <w:tc>
          <w:tcPr>
            <w:tcW w:type="dxa" w:w="396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operador registra nombre, correo y productos con pocos pasos.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Confirma pago y entrega o envía el boleto QR.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Preventa web</w:t>
            </w:r>
          </w:p>
        </w:tc>
        <w:tc>
          <w:tcPr>
            <w:tcW w:type="dxa" w:w="396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Selecciona la kermesse y los productos desde la página pública.</w:t>
            </w:r>
          </w:p>
        </w:tc>
        <w:tc>
          <w:tcPr>
            <w:tcW w:type="dxa" w:w="362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sistema registra la orden y envía QR cuando el pago esté confirmado.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por equipo</w:t>
            </w:r>
          </w:p>
        </w:tc>
        <w:tc>
          <w:tcPr>
            <w:tcW w:type="dxa" w:w="396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Escanea el QR personalizado, paga y envía su comprobante.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responsable valida el comprobante antes de emitir el boleto.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Canje móvil</w:t>
            </w:r>
          </w:p>
        </w:tc>
        <w:tc>
          <w:tcPr>
            <w:tcW w:type="dxa" w:w="396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Presenta el QR recibido por correo el día del evento.</w:t>
            </w:r>
          </w:p>
        </w:tc>
        <w:tc>
          <w:tcPr>
            <w:tcW w:type="dxa" w:w="362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operador escanea, visualiza productos y confirma la entrega.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Tecnología propuesta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Backend y API: Symfony 7.4 LTS con PHP 8.2.35.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Panel de gestión y página pública: Angular.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Aplicación de operación y canje: Flutter para celulares Android e iOS.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Base de datos relacional recomendada: PostgreSQL.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Servicios complementarios: correo transaccional, códigos QR y conexión con el proveedor de pagos disponible.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Cronograma de un 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Semana</w:t>
            </w:r>
          </w:p>
        </w:tc>
        <w:tc>
          <w:tcPr>
            <w:tcW w:type="dxa" w:w="243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584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3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 multievento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Organizaciones, eventos, usuarios, responsables, roles, productos y modelo de datos.</w:t>
            </w:r>
          </w:p>
        </w:tc>
      </w:tr>
      <w:tr>
        <w:tc>
          <w:tcPr>
            <w:tcW w:type="dxa" w:w="113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3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Gestión y catálogo</w:t>
            </w:r>
          </w:p>
        </w:tc>
        <w:tc>
          <w:tcPr>
            <w:tcW w:type="dxa" w:w="5840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Panel Angular, inversiones, gastos, productos, página pública y preventa.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3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Pagos y operación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bancario y por equipos, comprobantes, boletos, correos y aplicación Flutter.</w:t>
            </w:r>
          </w:p>
        </w:tc>
      </w:tr>
      <w:tr>
        <w:tc>
          <w:tcPr>
            <w:tcW w:type="dxa" w:w="113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3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Validación y salida</w:t>
            </w:r>
          </w:p>
        </w:tc>
        <w:tc>
          <w:tcPr>
            <w:tcW w:type="dxa" w:w="5840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Reportes, pruebas integrales, configuración de producción, capacitación y piloto.</w:t>
            </w:r>
          </w:p>
        </w:tc>
      </w:tr>
    </w:tbl>
    <w:p>
      <w:pPr>
        <w:spacing w:after="20"/>
      </w:pPr>
    </w:p>
    <w:p>
      <w:pPr>
        <w:spacing w:after="4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plazo requiere que la organización entregue con oportunidad sus datos, identidad visual, productos, precios, responsables, credenciales de pago y acceso al hosting.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Prototipos de interfaz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Las siguientes pantallas muestran la propuesta visual del sistema. Son prototipos de referencia y se ajustarán con la identidad de cada organización.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Panel de gestión del evento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20000"/>
            <wp:docPr id="1" name="Picture 1" descr="Vista de administración: indicadores, productos, inversión, actividad y accesos del evento activo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de administración: indicadores, productos, inversión, actividad y accesos del evento activo.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administrador de la organización podrá cambiar entre eventos y ver únicamente la información autorizada para cada responsable. Los responsables de eventos anteriores podrán conservar vista de consulta cuando la organización lo defina.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Aplicación móvil para responsables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96000" cy="2719500"/>
            <wp:docPr id="2" name="Picture 2" descr="Vista móvil: escaneo de QR, nueva venta, registro de gasto y resumen del puesto asignado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7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móvil: escaneo de QR, nueva venta, registro de gasto y resumen del puesto asignado.</w:t>
      </w:r>
    </w:p>
    <w:p>
      <w:pPr>
        <w:spacing w:after="10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La aplicación mostrará el evento y puesto asignado al operador. Al escanear un boleto, reconocerá automáticamente los platos correspondientes y evitará canjes duplicados.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Página pública de preventa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20000"/>
            <wp:docPr id="3" name="Picture 3" descr="Vista pública: enlace por organización y evento, menú, precios y compra rápida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pública: enlace por organización y evento, menú, precios y compra rápida.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Inversión y 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6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175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Importe</w:t>
            </w:r>
          </w:p>
        </w:tc>
        <w:tc>
          <w:tcPr>
            <w:tcW w:type="dxa" w:w="510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Incluye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Implementación del sistema</w:t>
            </w:r>
          </w:p>
        </w:tc>
        <w:tc>
          <w:tcPr>
            <w:tcW w:type="dxa" w:w="175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Bs 4.500</w:t>
            </w:r>
          </w:p>
        </w:tc>
        <w:tc>
          <w:tcPr>
            <w:tcW w:type="dxa" w:w="51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Desarrollo, configuración inicial, pruebas, capacitación básica y puesta en marcha.</w:t>
            </w:r>
          </w:p>
        </w:tc>
      </w:tr>
      <w:tr>
        <w:tc>
          <w:tcPr>
            <w:tcW w:type="dxa" w:w="260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Implementación con código fuente</w:t>
            </w:r>
          </w:p>
        </w:tc>
        <w:tc>
          <w:tcPr>
            <w:tcW w:type="dxa" w:w="175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Bs 9.000</w:t>
            </w:r>
          </w:p>
        </w:tc>
        <w:tc>
          <w:tcPr>
            <w:tcW w:type="dxa" w:w="5103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Modalidad total que incorpora la entrega del código fuente del sistema.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Hosting y servicios externos</w:t>
            </w:r>
          </w:p>
        </w:tc>
        <w:tc>
          <w:tcPr>
            <w:tcW w:type="dxa" w:w="175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 cargo del cliente</w:t>
            </w:r>
          </w:p>
        </w:tc>
        <w:tc>
          <w:tcPr>
            <w:tcW w:type="dxa" w:w="51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Hosting, dominio, correo transaccional, bancos, pasarela de pago y servicios de terceros.</w:t>
            </w:r>
          </w:p>
        </w:tc>
      </w:tr>
      <w:tr>
        <w:tc>
          <w:tcPr>
            <w:tcW w:type="dxa" w:w="260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Mantenimiento por un año</w:t>
            </w:r>
          </w:p>
        </w:tc>
        <w:tc>
          <w:tcPr>
            <w:tcW w:type="dxa" w:w="175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Incluido</w:t>
            </w:r>
          </w:p>
        </w:tc>
        <w:tc>
          <w:tcPr>
            <w:tcW w:type="dxa" w:w="5103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Seguimiento y corrección de errores de las funcionalidades entregadas durante 12 meses.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ptos" w:hAnsi="Aptos"/>
          <w:b/>
          <w:i w:val="0"/>
          <w:color w:val="000000"/>
          <w:sz w:val="20"/>
        </w:rPr>
        <w:t xml:space="preserve">Código fuente: </w:t>
      </w:r>
      <w:r>
        <w:rPr>
          <w:rFonts w:ascii="Aptos" w:hAnsi="Aptos"/>
          <w:b w:val="0"/>
          <w:i w:val="0"/>
          <w:color w:val="000000"/>
          <w:sz w:val="20"/>
        </w:rPr>
        <w:t>Bs 9.000 es el valor total de la modalidad que incluye su entrega; no es un importe adicional a Bs 4.500.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Mantenimiento incluido por 12 meses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Seguimiento de incidencias reportadas por los administradores y responsables.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Corrección de errores funcionales dentro del alcance entregado.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Ajustes menores necesarios para sostener la operación de las funcionalidades implementadas.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Orientación básica de uso y revisión general del servicio.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mantenimiento no incluye nuevos módulos, rediseños mayores, cambios de alcance ni tarifas de hosting, dominio, servicios de correo, entidades financieras o proveedores externos.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Responsabilidades de la organización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Definir administradores de organización, responsables de cada evento y permisos requeridos.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Entregar productos, precios, cantidades, identidad visual y contenido de la página pública.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Contratar y cubrir hosting, dominio y servicios externos necesarios.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Proporcionar credenciales y aprobaciones del banco o proveedor de pagos.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Cierre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plataforma permitirá a Saint Andrew’s School administrar la Kermesse Halloween 2026 y conservar una base organizada para sus futuros eventos. El mismo modelo podrá aplicarse después a otras organizaciones, manteniendo sus equipos, responsables y datos completamente separados.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085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000000"/>
        <w:sz w:val="16"/>
      </w:rPr>
      <w:t>PROPUESTA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Implementación de Plataforma para Kermesses</dc:title>
  <dc:subject>Propuesta comercial multievento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