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00"/>
      </w:pPr>
      <w:r>
        <w:rPr>
          <w:rFonts w:ascii="Aptos" w:hAnsi="Aptos"/>
          <w:b/>
          <w:i w:val="0"/>
          <w:color w:val="C55A11"/>
          <w:sz w:val="18"/>
        </w:rPr>
        <w:t>PROPUESTA COMERCIAL</w:t>
      </w:r>
    </w:p>
    <w:p>
      <w:pPr>
        <w:pStyle w:val="Title"/>
        <w:keepNext/>
        <w:spacing w:after="80"/>
      </w:pPr>
      <w:r>
        <w:rPr>
          <w:rFonts w:ascii="Aptos Display" w:hAnsi="Aptos Display"/>
          <w:b/>
          <w:i w:val="0"/>
          <w:color w:val="000000"/>
          <w:sz w:val="48"/>
        </w:rPr>
        <w:t>Plataforma de Gestión para Kermesses</w:t>
      </w:r>
    </w:p>
    <w:p>
      <w:pPr>
        <w:spacing w:after="280"/>
      </w:pPr>
      <w:r>
        <w:rPr>
          <w:rFonts w:ascii="Aptos" w:hAnsi="Aptos"/>
          <w:b w:val="0"/>
          <w:i w:val="0"/>
          <w:color w:val="000000"/>
          <w:sz w:val="22"/>
        </w:rPr>
        <w:t>Propuesta para Saint Andrew’s School y futuras organizaciones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3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Referencia</w:t>
            </w:r>
          </w:p>
        </w:tc>
        <w:tc>
          <w:tcPr>
            <w:tcW w:type="dxa" w:w="657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Organización de referencia</w:t>
            </w:r>
          </w:p>
        </w:tc>
        <w:tc>
          <w:tcPr>
            <w:tcW w:type="dxa" w:w="657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Saint Andrew’s School</w:t>
            </w:r>
          </w:p>
        </w:tc>
      </w:tr>
      <w:tr>
        <w:tc>
          <w:tcPr>
            <w:tcW w:type="dxa" w:w="2835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Primer evento</w:t>
            </w:r>
          </w:p>
        </w:tc>
        <w:tc>
          <w:tcPr>
            <w:tcW w:type="dxa" w:w="657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Kermesse Halloween 2026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Plazo de implementación</w:t>
            </w:r>
          </w:p>
        </w:tc>
        <w:tc>
          <w:tcPr>
            <w:tcW w:type="dxa" w:w="657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 mes</w:t>
            </w:r>
          </w:p>
        </w:tc>
      </w:tr>
      <w:tr>
        <w:tc>
          <w:tcPr>
            <w:tcW w:type="dxa" w:w="2835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Fecha</w:t>
            </w:r>
          </w:p>
        </w:tc>
        <w:tc>
          <w:tcPr>
            <w:tcW w:type="dxa" w:w="657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26 de octubre de 2026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Propuesta y alcance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Se propone una plataforma para que una organización administre todas sus kermesses desde un solo lugar. Cada organización podrá crear varios eventos, nombrar responsables diferentes para cada uno y conservar el historial sin mezclar información, ventas ni permisos.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 primera implementación se configura para Saint Andrew’s School y la Kermesse Halloween 2026. La estructura queda preparada para que el colegio organice nuevos eventos en los próximos años o para que otras organizaciones utilicen la misma plataforma de forma independiente.</w:t>
      </w:r>
    </w:p>
    <w:p>
      <w:pPr>
        <w:pStyle w:val="Heading2"/>
        <w:keepNext/>
        <w:spacing w:before="140" w:after="100"/>
      </w:pPr>
      <w:r>
        <w:rPr>
          <w:rFonts w:ascii="Aptos Display" w:hAnsi="Aptos Display"/>
          <w:b/>
          <w:i w:val="0"/>
          <w:color w:val="000000"/>
          <w:sz w:val="22"/>
        </w:rPr>
        <w:t>Modelo de trabajo multievento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1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Nivel</w:t>
            </w:r>
          </w:p>
        </w:tc>
        <w:tc>
          <w:tcPr>
            <w:tcW w:type="dxa" w:w="4649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Qué administra</w:t>
            </w:r>
          </w:p>
        </w:tc>
        <w:tc>
          <w:tcPr>
            <w:tcW w:type="dxa" w:w="294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Organización</w:t>
            </w:r>
          </w:p>
        </w:tc>
        <w:tc>
          <w:tcPr>
            <w:tcW w:type="dxa" w:w="4649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Datos institucionales, administradores principales y todos sus eventos.</w:t>
            </w:r>
          </w:p>
        </w:tc>
        <w:tc>
          <w:tcPr>
            <w:tcW w:type="dxa" w:w="29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Saint Andrew’s School</w:t>
            </w:r>
          </w:p>
        </w:tc>
      </w:tr>
      <w:tr>
        <w:tc>
          <w:tcPr>
            <w:tcW w:type="dxa" w:w="181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Evento</w:t>
            </w:r>
          </w:p>
        </w:tc>
        <w:tc>
          <w:tcPr>
            <w:tcW w:type="dxa" w:w="4649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Productos, precios, responsables, gastos, ventas, QR y reportes propios.</w:t>
            </w:r>
          </w:p>
        </w:tc>
        <w:tc>
          <w:tcPr>
            <w:tcW w:type="dxa" w:w="294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Kermesse Halloween 2026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Equipo del evento</w:t>
            </w:r>
          </w:p>
        </w:tc>
        <w:tc>
          <w:tcPr>
            <w:tcW w:type="dxa" w:w="4649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Permisos limitados al área o a la tarea asignada dentro del evento.</w:t>
            </w:r>
          </w:p>
        </w:tc>
        <w:tc>
          <w:tcPr>
            <w:tcW w:type="dxa" w:w="29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Gastronomía, caja, validación QR</w:t>
            </w:r>
          </w:p>
        </w:tc>
      </w:tr>
    </w:tbl>
    <w:p>
      <w:pPr>
        <w:spacing w:after="20"/>
      </w:pPr>
    </w:p>
    <w:p>
      <w:pPr>
        <w:spacing w:after="0"/>
      </w:pPr>
      <w:r>
        <w:rPr>
          <w:rFonts w:ascii="Aptos" w:hAnsi="Aptos"/>
          <w:b/>
          <w:i w:val="0"/>
          <w:color w:val="000000"/>
          <w:sz w:val="20"/>
        </w:rPr>
        <w:t xml:space="preserve">Principio de acceso: </w:t>
      </w:r>
      <w:r>
        <w:rPr>
          <w:rFonts w:ascii="Aptos" w:hAnsi="Aptos"/>
          <w:b w:val="0"/>
          <w:i w:val="0"/>
          <w:color w:val="000000"/>
          <w:sz w:val="20"/>
        </w:rPr>
        <w:t>una persona no verá todos los eventos por defecto. Solo accederá a los eventos en los que la organización le otorgue un permiso.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Responsables y permisos por evento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Cada kermesse tendrá su propio equipo. Un mismo responsable puede participar en varios eventos con roles distintos. Por ejemplo, una persona puede administrar la Kermesse Halloween 2026 y solamente consultar una kermesse de años anteriores.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92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476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Permisos principales</w:t>
            </w:r>
          </w:p>
        </w:tc>
        <w:tc>
          <w:tcPr>
            <w:tcW w:type="dxa" w:w="272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Alcance</w:t>
            </w:r>
          </w:p>
        </w:tc>
      </w:tr>
      <w:tr>
        <w:tc>
          <w:tcPr>
            <w:tcW w:type="dxa" w:w="192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Administrador de organización</w:t>
            </w:r>
          </w:p>
        </w:tc>
        <w:tc>
          <w:tcPr>
            <w:tcW w:type="dxa" w:w="476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Crear eventos, nombrar responsables, consultar resultados y configurar la organización.</w:t>
            </w:r>
          </w:p>
        </w:tc>
        <w:tc>
          <w:tcPr>
            <w:tcW w:type="dxa" w:w="272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Todos los eventos de su organización.</w:t>
            </w:r>
          </w:p>
        </w:tc>
      </w:tr>
      <w:tr>
        <w:tc>
          <w:tcPr>
            <w:tcW w:type="dxa" w:w="192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Administrador de evento</w:t>
            </w:r>
          </w:p>
        </w:tc>
        <w:tc>
          <w:tcPr>
            <w:tcW w:type="dxa" w:w="4762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Gestionar productos, precios, equipos, gastos, preventas y reportes.</w:t>
            </w:r>
          </w:p>
        </w:tc>
        <w:tc>
          <w:tcPr>
            <w:tcW w:type="dxa" w:w="2721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Solo el evento asignado.</w:t>
            </w:r>
          </w:p>
        </w:tc>
      </w:tr>
      <w:tr>
        <w:tc>
          <w:tcPr>
            <w:tcW w:type="dxa" w:w="192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Responsable financiero</w:t>
            </w:r>
          </w:p>
        </w:tc>
        <w:tc>
          <w:tcPr>
            <w:tcW w:type="dxa" w:w="476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Registrar y aprobar inversiones, gastos, caja y reportes económicos.</w:t>
            </w:r>
          </w:p>
        </w:tc>
        <w:tc>
          <w:tcPr>
            <w:tcW w:type="dxa" w:w="272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Solo el evento asignado.</w:t>
            </w:r>
          </w:p>
        </w:tc>
      </w:tr>
      <w:tr>
        <w:tc>
          <w:tcPr>
            <w:tcW w:type="dxa" w:w="192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Responsable de ventas</w:t>
            </w:r>
          </w:p>
        </w:tc>
        <w:tc>
          <w:tcPr>
            <w:tcW w:type="dxa" w:w="4762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Gestionar ventas asistidas, QR de equipos, comprobantes y pedidos.</w:t>
            </w:r>
          </w:p>
        </w:tc>
        <w:tc>
          <w:tcPr>
            <w:tcW w:type="dxa" w:w="2721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Solo el evento y puesto asignado.</w:t>
            </w:r>
          </w:p>
        </w:tc>
      </w:tr>
      <w:tr>
        <w:tc>
          <w:tcPr>
            <w:tcW w:type="dxa" w:w="192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Operador y validador</w:t>
            </w:r>
          </w:p>
        </w:tc>
        <w:tc>
          <w:tcPr>
            <w:tcW w:type="dxa" w:w="476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Registrar venta, escanear boleto QR y confirmar entrega.</w:t>
            </w:r>
          </w:p>
        </w:tc>
        <w:tc>
          <w:tcPr>
            <w:tcW w:type="dxa" w:w="272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Solo el evento y puesto asignado.</w:t>
            </w:r>
          </w:p>
        </w:tc>
      </w:tr>
      <w:tr>
        <w:tc>
          <w:tcPr>
            <w:tcW w:type="dxa" w:w="192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histórica</w:t>
            </w:r>
          </w:p>
        </w:tc>
        <w:tc>
          <w:tcPr>
            <w:tcW w:type="dxa" w:w="4762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Revisar resultados, gastos, ventas y reportes sin modificar datos.</w:t>
            </w:r>
          </w:p>
        </w:tc>
        <w:tc>
          <w:tcPr>
            <w:tcW w:type="dxa" w:w="2721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Eventos anteriores autorizados.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 Display" w:hAnsi="Aptos Display"/>
          <w:b/>
          <w:i w:val="0"/>
          <w:color w:val="000000"/>
          <w:sz w:val="22"/>
        </w:rPr>
        <w:t>Acceso a eventos anteriores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Los responsables anteriores conservarán acceso únicamente a los eventos que la organización les permita consultar. El administrador podrá cambiar un acceso de edición a consulta, retirar el acceso o habilitarlo nuevamente. Esto permite mantener el historial disponible sin exponer la operación actual a personas que ya no participan.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Historial separado por evento: ventas, gastos, responsables, boletos y reportes permanecen asociados a su kermesse.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Trazabilidad: el sistema registra qué responsable creó, aprobó, validó o modificó una operación relevante.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Continuidad: la organización puede reutilizar productos, equipos y responsables al crear una nueva kermesse.</w:t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Módulos funcionales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Módulo</w:t>
            </w:r>
          </w:p>
        </w:tc>
        <w:tc>
          <w:tcPr>
            <w:tcW w:type="dxa" w:w="71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Funcionalidad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Organización y eventos</w:t>
            </w:r>
          </w:p>
        </w:tc>
        <w:tc>
          <w:tcPr>
            <w:tcW w:type="dxa" w:w="71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Creación de organizaciones, múltiples kermesses, fechas, estado, enlace público y configuración por evento.</w:t>
            </w:r>
          </w:p>
        </w:tc>
      </w:tr>
      <w:tr>
        <w:tc>
          <w:tcPr>
            <w:tcW w:type="dxa" w:w="226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Usuarios y accesos</w:t>
            </w:r>
          </w:p>
        </w:tc>
        <w:tc>
          <w:tcPr>
            <w:tcW w:type="dxa" w:w="714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Responsables por evento, roles, permisos específicos, acceso histórico y auditoría de acciones.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Productos y disponibilidad</w:t>
            </w:r>
          </w:p>
        </w:tc>
        <w:tc>
          <w:tcPr>
            <w:tcW w:type="dxa" w:w="71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Platos, bebidas, precio, cantidad planificada, publicación y control de disponibilidad.</w:t>
            </w:r>
          </w:p>
        </w:tc>
      </w:tr>
      <w:tr>
        <w:tc>
          <w:tcPr>
            <w:tcW w:type="dxa" w:w="226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Inversión y gastos</w:t>
            </w:r>
          </w:p>
        </w:tc>
        <w:tc>
          <w:tcPr>
            <w:tcW w:type="dxa" w:w="714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Insumos, costos, proveedores, gastos operativos, responsables y comprobantes opcionales.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Ventas y preventa</w:t>
            </w:r>
          </w:p>
        </w:tc>
        <w:tc>
          <w:tcPr>
            <w:tcW w:type="dxa" w:w="71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Venta por operador, preventa web, pedidos, datos mínimos del comprador y estados de orden.</w:t>
            </w:r>
          </w:p>
        </w:tc>
      </w:tr>
      <w:tr>
        <w:tc>
          <w:tcPr>
            <w:tcW w:type="dxa" w:w="226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Pagos y QR</w:t>
            </w:r>
          </w:p>
        </w:tc>
        <w:tc>
          <w:tcPr>
            <w:tcW w:type="dxa" w:w="714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QR bancario, QR por equipo vendedor, validación de comprobantes y seguimiento de pagos.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Boletos y canje</w:t>
            </w:r>
          </w:p>
        </w:tc>
        <w:tc>
          <w:tcPr>
            <w:tcW w:type="dxa" w:w="71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Boleto digital QR, envío por correo, lectura móvil, control de uso único y registro de entrega.</w:t>
            </w:r>
          </w:p>
        </w:tc>
      </w:tr>
      <w:tr>
        <w:tc>
          <w:tcPr>
            <w:tcW w:type="dxa" w:w="226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Reportes</w:t>
            </w:r>
          </w:p>
        </w:tc>
        <w:tc>
          <w:tcPr>
            <w:tcW w:type="dxa" w:w="714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Ventas, ingresos, gastos, inversión, productos, pagos pendientes, canjes y resultado por evento.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Flujos de venta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1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Canal</w:t>
            </w:r>
          </w:p>
        </w:tc>
        <w:tc>
          <w:tcPr>
            <w:tcW w:type="dxa" w:w="3969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Experiencia del comprador</w:t>
            </w:r>
          </w:p>
        </w:tc>
        <w:tc>
          <w:tcPr>
            <w:tcW w:type="dxa" w:w="362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Control del equipo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Venta asistida</w:t>
            </w:r>
          </w:p>
        </w:tc>
        <w:tc>
          <w:tcPr>
            <w:tcW w:type="dxa" w:w="3969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 operador registra nombre, correo y productos con pocos pasos.</w:t>
            </w:r>
          </w:p>
        </w:tc>
        <w:tc>
          <w:tcPr>
            <w:tcW w:type="dxa" w:w="36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Confirma pago y entrega o envía el boleto QR.</w:t>
            </w:r>
          </w:p>
        </w:tc>
      </w:tr>
      <w:tr>
        <w:tc>
          <w:tcPr>
            <w:tcW w:type="dxa" w:w="181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Preventa web</w:t>
            </w:r>
          </w:p>
        </w:tc>
        <w:tc>
          <w:tcPr>
            <w:tcW w:type="dxa" w:w="3969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Selecciona la kermesse y los productos desde la página pública.</w:t>
            </w:r>
          </w:p>
        </w:tc>
        <w:tc>
          <w:tcPr>
            <w:tcW w:type="dxa" w:w="362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 sistema registra la orden y envía QR cuando el pago esté confirmado.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QR por equipo</w:t>
            </w:r>
          </w:p>
        </w:tc>
        <w:tc>
          <w:tcPr>
            <w:tcW w:type="dxa" w:w="3969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Escanea el QR personalizado, paga y envía su comprobante.</w:t>
            </w:r>
          </w:p>
        </w:tc>
        <w:tc>
          <w:tcPr>
            <w:tcW w:type="dxa" w:w="36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 responsable valida el comprobante antes de emitir el boleto.</w:t>
            </w:r>
          </w:p>
        </w:tc>
      </w:tr>
      <w:tr>
        <w:tc>
          <w:tcPr>
            <w:tcW w:type="dxa" w:w="181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Canje móvil</w:t>
            </w:r>
          </w:p>
        </w:tc>
        <w:tc>
          <w:tcPr>
            <w:tcW w:type="dxa" w:w="3969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Presenta el QR recibido por correo el día del evento.</w:t>
            </w:r>
          </w:p>
        </w:tc>
        <w:tc>
          <w:tcPr>
            <w:tcW w:type="dxa" w:w="362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 operador escanea, visualiza productos y confirma la entrega.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Tecnología propuesta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Backend y API: Symfony 7.4 LTS con PHP 8.2.35.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Panel de gestión y página pública: Angular.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Aplicación de operación y canje: Flutter para celulares Android e iOS.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Base de datos relacional recomendada: PostgreSQL.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Servicios complementarios: correo transaccional, códigos QR y conexión con el proveedor de pagos disponible.</w:t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Cronograma de un 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13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Semana</w:t>
            </w:r>
          </w:p>
        </w:tc>
        <w:tc>
          <w:tcPr>
            <w:tcW w:type="dxa" w:w="243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Objetivo</w:t>
            </w:r>
          </w:p>
        </w:tc>
        <w:tc>
          <w:tcPr>
            <w:tcW w:type="dxa" w:w="584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43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Base multievento</w:t>
            </w:r>
          </w:p>
        </w:tc>
        <w:tc>
          <w:tcPr>
            <w:tcW w:type="dxa" w:w="58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Organizaciones, eventos, usuarios, responsables, roles, productos y modelo de datos.</w:t>
            </w:r>
          </w:p>
        </w:tc>
      </w:tr>
      <w:tr>
        <w:tc>
          <w:tcPr>
            <w:tcW w:type="dxa" w:w="113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43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Gestión y catálogo</w:t>
            </w:r>
          </w:p>
        </w:tc>
        <w:tc>
          <w:tcPr>
            <w:tcW w:type="dxa" w:w="5840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Panel Angular, inversiones, gastos, productos, página pública y preventa.</w:t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43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Pagos y operación</w:t>
            </w:r>
          </w:p>
        </w:tc>
        <w:tc>
          <w:tcPr>
            <w:tcW w:type="dxa" w:w="58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QR bancario y por equipos, comprobantes, boletos, correos y aplicación Flutter.</w:t>
            </w:r>
          </w:p>
        </w:tc>
      </w:tr>
      <w:tr>
        <w:tc>
          <w:tcPr>
            <w:tcW w:type="dxa" w:w="1134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43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Validación y salida</w:t>
            </w:r>
          </w:p>
        </w:tc>
        <w:tc>
          <w:tcPr>
            <w:tcW w:type="dxa" w:w="5840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Reportes, pruebas integrales, configuración de producción, capacitación y piloto.</w:t>
            </w:r>
          </w:p>
        </w:tc>
      </w:tr>
    </w:tbl>
    <w:p>
      <w:pPr>
        <w:spacing w:after="20"/>
      </w:pPr>
    </w:p>
    <w:p>
      <w:pPr>
        <w:spacing w:after="40" w:line="269" w:lineRule="auto"/>
      </w:pPr>
      <w:r>
        <w:rPr>
          <w:rFonts w:ascii="Aptos" w:hAnsi="Aptos"/>
          <w:b w:val="0"/>
          <w:i w:val="0"/>
          <w:color w:val="000000"/>
          <w:sz w:val="19"/>
        </w:rPr>
        <w:t>El plazo requiere que la organización entregue con oportunidad sus datos, identidad visual, productos, precios, responsables, credenciales de pago y acceso al hosting.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Prototipos de interfaz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Las siguientes pantallas muestran la propuesta visual del sistema. Son prototipos de referencia y se ajustarán con la identidad de cada organización.</w:t>
      </w:r>
    </w:p>
    <w:p>
      <w:pPr>
        <w:pStyle w:val="Heading2"/>
        <w:keepNext/>
        <w:spacing w:before="140" w:after="100"/>
      </w:pPr>
      <w:r>
        <w:rPr>
          <w:rFonts w:ascii="Aptos Display" w:hAnsi="Aptos Display"/>
          <w:b/>
          <w:i w:val="0"/>
          <w:color w:val="000000"/>
          <w:sz w:val="22"/>
        </w:rPr>
        <w:t>Panel de gestión del evento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20000"/>
            <wp:docPr id="1" name="Picture 1" descr="Vista de administración: indicadores, productos, inversión, actividad y accesos del evento activo." title="Prototipo de interfa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67085"/>
          <w:sz w:val="18"/>
        </w:rPr>
        <w:t>Vista de administración: indicadores, productos, inversión, actividad y accesos del evento activo.</w:t>
      </w:r>
    </w:p>
    <w:p>
      <w:pPr>
        <w:spacing w:after="0" w:line="269" w:lineRule="auto"/>
      </w:pPr>
      <w:r>
        <w:rPr>
          <w:rFonts w:ascii="Aptos" w:hAnsi="Aptos"/>
          <w:b w:val="0"/>
          <w:i w:val="0"/>
          <w:color w:val="000000"/>
          <w:sz w:val="19"/>
        </w:rPr>
        <w:t>El administrador de la organización podrá cambiar entre eventos y ver únicamente la información autorizada para cada responsable. Los responsables de eventos anteriores podrán conservar vista de consulta cuando la organización lo defina.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Aplicación móvil para responsables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96000" cy="2719500"/>
            <wp:docPr id="2" name="Picture 2" descr="Vista móvil: escaneo de QR, nueva venta, registro de gasto y resumen del puesto asignado." title="Prototipo de interfa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27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67085"/>
          <w:sz w:val="18"/>
        </w:rPr>
        <w:t>Vista móvil: escaneo de QR, nueva venta, registro de gasto y resumen del puesto asignado.</w:t>
      </w:r>
    </w:p>
    <w:p>
      <w:pPr>
        <w:spacing w:after="100" w:line="269" w:lineRule="auto"/>
      </w:pPr>
      <w:r>
        <w:rPr>
          <w:rFonts w:ascii="Aptos" w:hAnsi="Aptos"/>
          <w:b w:val="0"/>
          <w:i w:val="0"/>
          <w:color w:val="000000"/>
          <w:sz w:val="19"/>
        </w:rPr>
        <w:t>La aplicación mostrará el evento y puesto asignado al operador. Al escanear un boleto, reconocerá automáticamente los platos correspondientes y evitará canjes duplicados.</w:t>
      </w:r>
    </w:p>
    <w:p>
      <w:pPr>
        <w:pStyle w:val="Heading2"/>
        <w:keepNext/>
        <w:spacing w:before="140" w:after="100"/>
      </w:pPr>
      <w:r>
        <w:rPr>
          <w:rFonts w:ascii="Aptos Display" w:hAnsi="Aptos Display"/>
          <w:b/>
          <w:i w:val="0"/>
          <w:color w:val="000000"/>
          <w:sz w:val="22"/>
        </w:rPr>
        <w:t>Página pública de preventa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20000"/>
            <wp:docPr id="3" name="Picture 3" descr="Vista pública: enlace por organización y evento, menú, precios y compra rápida." title="Prototipo de interfa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667085"/>
          <w:sz w:val="18"/>
        </w:rPr>
        <w:t>Vista pública: enlace por organización y evento, menú, precios y compra rápida.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Inversión y 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60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175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Importe</w:t>
            </w:r>
          </w:p>
        </w:tc>
        <w:tc>
          <w:tcPr>
            <w:tcW w:type="dxa" w:w="5103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Incluye</w:t>
            </w:r>
          </w:p>
        </w:tc>
      </w:tr>
      <w:tr>
        <w:tc>
          <w:tcPr>
            <w:tcW w:type="dxa" w:w="26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Implementación del sistema</w:t>
            </w:r>
          </w:p>
        </w:tc>
        <w:tc>
          <w:tcPr>
            <w:tcW w:type="dxa" w:w="175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Bs 4.500</w:t>
            </w:r>
          </w:p>
        </w:tc>
        <w:tc>
          <w:tcPr>
            <w:tcW w:type="dxa" w:w="51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Desarrollo, configuración inicial, pruebas, capacitación básica y puesta en marcha.</w:t>
            </w:r>
          </w:p>
        </w:tc>
      </w:tr>
      <w:tr>
        <w:tc>
          <w:tcPr>
            <w:tcW w:type="dxa" w:w="26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Hosting y servicios externos</w:t>
            </w:r>
          </w:p>
        </w:tc>
        <w:tc>
          <w:tcPr>
            <w:tcW w:type="dxa" w:w="175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 cargo del cliente</w:t>
            </w:r>
          </w:p>
        </w:tc>
        <w:tc>
          <w:tcPr>
            <w:tcW w:type="dxa" w:w="510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Hosting, dominio, correo transaccional, bancos, pasarela de pago y servicios de terceros.</w:t>
            </w:r>
          </w:p>
        </w:tc>
      </w:tr>
      <w:tr>
        <w:tc>
          <w:tcPr>
            <w:tcW w:type="dxa" w:w="2608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Mantenimiento por un año</w:t>
            </w:r>
          </w:p>
        </w:tc>
        <w:tc>
          <w:tcPr>
            <w:tcW w:type="dxa" w:w="1757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Incluido</w:t>
            </w:r>
          </w:p>
        </w:tc>
        <w:tc>
          <w:tcPr>
            <w:tcW w:type="dxa" w:w="5103"/>
            <w:shd w:fill="F4F6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Seguimiento y corrección de errores de las funcionalidades entregadas durante 12 meses.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Mantenimiento incluido por 12 meses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Seguimiento de incidencias reportadas por los administradores y responsables.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Corrección de errores funcionales dentro del alcance entregado.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Ajustes menores necesarios para sostener la operación de las funcionalidades implementadas.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Orientación básica de uso y revisión general del servicio.</w:t>
      </w:r>
    </w:p>
    <w:p>
      <w:pPr>
        <w:spacing w:after="140" w:line="269" w:lineRule="auto"/>
      </w:pPr>
      <w:r>
        <w:rPr>
          <w:rFonts w:ascii="Aptos" w:hAnsi="Aptos"/>
          <w:b w:val="0"/>
          <w:i w:val="0"/>
          <w:color w:val="000000"/>
          <w:sz w:val="19"/>
        </w:rPr>
        <w:t>El mantenimiento no incluye nuevos módulos, rediseños mayores, cambios de alcance ni tarifas de hosting, dominio, servicios de correo, entidades financieras o proveedores externos.</w:t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Responsabilidades de la organización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Definir administradores de organización, responsables de cada evento y permisos requeridos.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Entregar productos, precios, cantidades, identidad visual y contenido de la página pública.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Contratar y cubrir hosting, dominio y servicios externos necesarios.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20"/>
        </w:rPr>
        <w:t>Proporcionar credenciales y aprobaciones del banco o proveedor de pagos.</w:t>
      </w:r>
    </w:p>
    <w:p>
      <w:pPr>
        <w:pStyle w:val="Heading1"/>
        <w:keepNext/>
        <w:spacing w:before="220" w:after="100"/>
      </w:pPr>
      <w:r>
        <w:rPr>
          <w:rFonts w:ascii="Aptos Display" w:hAnsi="Aptos Display"/>
          <w:b/>
          <w:i w:val="0"/>
          <w:color w:val="000000"/>
          <w:sz w:val="28"/>
        </w:rPr>
        <w:t>Cierre</w:t>
      </w:r>
    </w:p>
    <w:p>
      <w:pPr>
        <w:spacing w:after="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 plataforma permitirá a Saint Andrew’s School administrar la Kermesse Halloween 2026 y conservar una base organizada para sus futuros eventos. El mismo modelo podrá aplicarse después a otras organizaciones, manteniendo sus equipos, responsables y datos completamente separados.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22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085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000000"/>
        <w:sz w:val="16"/>
      </w:rPr>
      <w:t>PROPUESTA DE IMPLEMENTACIÓN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Implementación de Plataforma para Kermesses</dc:title>
  <dc:subject>Propuesta comercial multievento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