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0B0B"/>
          <w:sz w:val="48"/>
        </w:rPr>
        <w:t>AlN Absorption Mechanisms</w:t>
      </w:r>
    </w:p>
    <w:p>
      <w:pPr>
        <w:spacing w:after="280"/>
      </w:pPr>
      <w:r>
        <w:rPr>
          <w:color w:val="52514E"/>
          <w:sz w:val="26"/>
        </w:rPr>
        <w:t>Literature review and alpha0 estimates for the loss-vs-dimensions absorption model</w:t>
      </w:r>
    </w:p>
    <w:p>
      <w:pPr>
        <w:pBdr>
          <w:bottom w:val="single" w:sz="6" w:space="1" w:color="C3C2B7"/>
        </w:pBdr>
        <w:spacing w:after="240"/>
      </w:pPr>
    </w:p>
    <w:p>
      <w:pPr>
        <w:pStyle w:val="Heading1"/>
      </w:pPr>
      <w:r>
        <w:t>Purpose</w:t>
      </w:r>
    </w:p>
    <w:p>
      <w:pPr>
        <w:spacing w:after="160"/>
      </w:pPr>
      <w:r>
        <w:rPr>
          <w:i w:val="0"/>
          <w:color w:val="0B0B0B"/>
          <w:sz w:val="21"/>
        </w:rPr>
        <w:t>This document supports the non-uniform absorption model in the loss-vs-dimensions pipeline (absorption_model.py / plot_loss_vs_dimensions.py’s MECHANISMS list). Each mechanism there is parameterized by a LOCAL power-absorption coefficient at the interface/sidewall (alpha0, in dB/m) and a characteristic penetration depth (L, in nm) over which it decays into the core — the modal loss the pipeline actually reports is much smaller than alpha0, since it is the Poynting-flux-weighted average of this profile over the whole mode cross-section, not alpha0 itself. This review is an attempt to ground those alpha0 values in published measurements where possible, at or near the 450 nm pump wavelength used in the sweep.</w:t>
      </w:r>
    </w:p>
    <w:p>
      <w:pPr>
        <w:spacing w:after="160"/>
      </w:pPr>
      <w:r>
        <w:rPr>
          <w:i/>
          <w:color w:val="52514E"/>
          <w:sz w:val="21"/>
        </w:rPr>
        <w:t>Scope and method: sources were located via targeted literature search (see reference list) and, where full text was paywalled or unreadable, cross-checked against a second independent summary before being cited here. Nothing below should be read as a validated, device-specific measurement — see the caveats after the table.</w:t>
      </w:r>
    </w:p>
    <w:p>
      <w:pPr>
        <w:pStyle w:val="Heading1"/>
      </w:pPr>
      <w:r>
        <w:t>Summary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0"/>
        <w:gridCol w:w="4176"/>
        <w:gridCol w:w="2592"/>
      </w:tblGrid>
      <w:tr>
        <w:tc>
          <w:tcPr>
            <w:tcW w:type="dxa" w:w="1872"/>
            <w:shd w:val="clear" w:color="auto" w:fill="2A78D6"/>
          </w:tcPr>
          <w:p>
            <w:r/>
            <w:r>
              <w:rPr>
                <w:b/>
                <w:i w:val="0"/>
                <w:color w:val="FFFFFF"/>
                <w:sz w:val="20"/>
              </w:rPr>
              <w:t>Mechanism</w:t>
            </w:r>
          </w:p>
        </w:tc>
        <w:tc>
          <w:tcPr>
            <w:tcW w:type="dxa" w:w="2160"/>
            <w:shd w:val="clear" w:color="auto" w:fill="2A78D6"/>
          </w:tcPr>
          <w:p>
            <w:r/>
            <w:r>
              <w:rPr>
                <w:b/>
                <w:i w:val="0"/>
                <w:color w:val="FFFFFF"/>
                <w:sz w:val="20"/>
              </w:rPr>
              <w:t>alpha0 estimate</w:t>
            </w:r>
          </w:p>
        </w:tc>
        <w:tc>
          <w:tcPr>
            <w:tcW w:type="dxa" w:w="4176"/>
            <w:shd w:val="clear" w:color="auto" w:fill="2A78D6"/>
          </w:tcPr>
          <w:p>
            <w:r/>
            <w:r>
              <w:rPr>
                <w:b/>
                <w:i w:val="0"/>
                <w:color w:val="FFFFFF"/>
                <w:sz w:val="20"/>
              </w:rPr>
              <w:t>Supporting assumptions</w:t>
            </w:r>
          </w:p>
        </w:tc>
        <w:tc>
          <w:tcPr>
            <w:tcW w:type="dxa" w:w="2592"/>
            <w:shd w:val="clear" w:color="auto" w:fill="2A78D6"/>
          </w:tcPr>
          <w:p>
            <w:r/>
            <w:r>
              <w:rPr>
                <w:b/>
                <w:i w:val="0"/>
                <w:color w:val="FFFFFF"/>
                <w:sz w:val="20"/>
              </w:rPr>
              <w:t>Reference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i w:val="0"/>
                <w:sz w:val="19"/>
              </w:rPr>
              <w:t>Dislocations (growth interface)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Not directly quantified in dB/m. Literature models this mechanism as SCATTERING, not absorption (see note).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color w:val="52514E"/>
                <w:sz w:val="19"/>
              </w:rPr>
              <w:t>Typical threading dislocation density in non-MOCVD AlN: 10⁸–10¹⁰ cm⁻². Volume-current-method analysis shows TM modes see measurably higher dislocation-induced loss than TE modes — relevant since the simulated mode here is TM00.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/>
                <w:color w:val="52514E"/>
                <w:sz w:val="18"/>
              </w:rPr>
              <w:t>Chen et al., "Study of crystalline defect induced optical scattering loss inside photonic waveguides in UV–visible spectral wavelengths using volume current method," Opt. Express 27(12), 17262 (2019).</w:t>
            </w:r>
          </w:p>
        </w:tc>
      </w:tr>
      <w:tr>
        <w:tc>
          <w:tcPr>
            <w:tcW w:type="dxa" w:w="1872"/>
            <w:shd w:val="clear" w:color="auto" w:fill="F2F5FB"/>
          </w:tcPr>
          <w:p>
            <w:r/>
            <w:r>
              <w:rPr>
                <w:b/>
                <w:i w:val="0"/>
                <w:sz w:val="19"/>
              </w:rPr>
              <w:t>C impurities (growth interface)</w:t>
            </w:r>
          </w:p>
        </w:tc>
        <w:tc>
          <w:tcPr>
            <w:tcW w:type="dxa" w:w="2160"/>
            <w:shd w:val="clear" w:color="auto" w:fill="F2F5FB"/>
          </w:tcPr>
          <w:p>
            <w:r/>
            <w:r>
              <w:rPr>
                <w:b w:val="0"/>
                <w:i w:val="0"/>
                <w:sz w:val="19"/>
              </w:rPr>
              <w:t>≈ 2.6–3.5×10⁴ dB/m (order-of-magnitude anchor; likely a high/conservative bound for photonic-grade thin films — see note).</w:t>
            </w:r>
          </w:p>
        </w:tc>
        <w:tc>
          <w:tcPr>
            <w:tcW w:type="dxa" w:w="4176"/>
            <w:shd w:val="clear" w:color="auto" w:fill="F2F5FB"/>
          </w:tcPr>
          <w:p>
            <w:r/>
            <w:r>
              <w:rPr>
                <w:b w:val="0"/>
                <w:i w:val="0"/>
                <w:color w:val="52514E"/>
                <w:sz w:val="19"/>
              </w:rPr>
              <w:t>Bulk PVT-grown AlN, [C] ≈ 7.5–10×10¹⁹ cm⁻³, [Si],[O] ≈ 2–9×10¹⁸ cm⁻³. Measured absorption coefficient 60–80 cm⁻¹ across a broad 2–4 eV (≈310–620 nm) band — not isolated to carbon alone.</w:t>
            </w:r>
          </w:p>
        </w:tc>
        <w:tc>
          <w:tcPr>
            <w:tcW w:type="dxa" w:w="2592"/>
            <w:shd w:val="clear" w:color="auto" w:fill="F2F5FB"/>
          </w:tcPr>
          <w:p>
            <w:r/>
            <w:r>
              <w:rPr>
                <w:b w:val="0"/>
                <w:i/>
                <w:color w:val="52514E"/>
                <w:sz w:val="18"/>
              </w:rPr>
              <w:t>Robinson et al., "Charge-state control of carbon-related optical absorption in AlN," arXiv:2606.19615 (2026).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i w:val="0"/>
                <w:sz w:val="19"/>
              </w:rPr>
              <w:t>O impurities (growth interface)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Same order-of-magnitude anchor as C (2.6–3.5×10⁴ dB/m, from the same co-doped samples) — wavelength relevance supported separately.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color w:val="52514E"/>
                <w:sz w:val="19"/>
              </w:rPr>
              <w:t>Yellow-coloration absorption band centered at 2.86 eV ≈ 434 nm — close to the 450 nm pump — attributed to aluminum-vacancy/oxygen complexes (V_Al–O_N, V_Al–2O_N).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/>
                <w:color w:val="52514E"/>
                <w:sz w:val="18"/>
              </w:rPr>
              <w:t>Bickermann et al., "The origin of 2.78 eV emission and yellow coloration in bulk AlN substrates," Appl. Phys. Lett. 95, 262104 (2009).</w:t>
            </w:r>
          </w:p>
        </w:tc>
      </w:tr>
      <w:tr>
        <w:tc>
          <w:tcPr>
            <w:tcW w:type="dxa" w:w="1872"/>
            <w:shd w:val="clear" w:color="auto" w:fill="F2F5FB"/>
          </w:tcPr>
          <w:p>
            <w:r/>
            <w:r>
              <w:rPr>
                <w:b/>
                <w:i w:val="0"/>
                <w:sz w:val="19"/>
              </w:rPr>
              <w:t>Si impurities (growth interface)</w:t>
            </w:r>
          </w:p>
        </w:tc>
        <w:tc>
          <w:tcPr>
            <w:tcW w:type="dxa" w:w="2160"/>
            <w:shd w:val="clear" w:color="auto" w:fill="F2F5FB"/>
          </w:tcPr>
          <w:p>
            <w:r/>
            <w:r>
              <w:rPr>
                <w:b w:val="0"/>
                <w:i w:val="0"/>
                <w:sz w:val="19"/>
              </w:rPr>
              <w:t>Not independently constrained. Current model placeholder (1.0×10⁴ dB/m) has no literature support.</w:t>
            </w:r>
          </w:p>
        </w:tc>
        <w:tc>
          <w:tcPr>
            <w:tcW w:type="dxa" w:w="4176"/>
            <w:shd w:val="clear" w:color="auto" w:fill="F2F5FB"/>
          </w:tcPr>
          <w:p>
            <w:r/>
            <w:r>
              <w:rPr>
                <w:b w:val="0"/>
                <w:i w:val="0"/>
                <w:color w:val="52514E"/>
                <w:sz w:val="19"/>
              </w:rPr>
              <w:t>Siₐₗ predicted/observed above ≈10¹⁷ cm⁻³. Its optical signature is entangled with the same broad C/O absorption bands above, not separately resolved in any source found.</w:t>
            </w:r>
          </w:p>
        </w:tc>
        <w:tc>
          <w:tcPr>
            <w:tcW w:type="dxa" w:w="2592"/>
            <w:shd w:val="clear" w:color="auto" w:fill="F2F5FB"/>
          </w:tcPr>
          <w:p>
            <w:r/>
            <w:r>
              <w:rPr>
                <w:b w:val="0"/>
                <w:i/>
                <w:color w:val="52514E"/>
                <w:sz w:val="18"/>
              </w:rPr>
              <w:t>(Qualitative context only — no isolated quantitative source found.)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i w:val="0"/>
                <w:sz w:val="19"/>
              </w:rPr>
              <w:t>Oxidation ingress (sidewall)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No literature value found. Current placeholder (2.5×10⁴ dB/m) is an engineering assumption only.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color w:val="52514E"/>
                <w:sz w:val="19"/>
              </w:rPr>
              <w:t>—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/>
                <w:color w:val="52514E"/>
                <w:sz w:val="18"/>
              </w:rPr>
              <w:t>—</w:t>
            </w:r>
          </w:p>
        </w:tc>
      </w:tr>
      <w:tr>
        <w:tc>
          <w:tcPr>
            <w:tcW w:type="dxa" w:w="1872"/>
            <w:shd w:val="clear" w:color="auto" w:fill="F2F5FB"/>
          </w:tcPr>
          <w:p>
            <w:r/>
            <w:r>
              <w:rPr>
                <w:b/>
                <w:i w:val="0"/>
                <w:sz w:val="19"/>
              </w:rPr>
              <w:t>Sidewall contamination (Si)</w:t>
            </w:r>
          </w:p>
        </w:tc>
        <w:tc>
          <w:tcPr>
            <w:tcW w:type="dxa" w:w="2160"/>
            <w:shd w:val="clear" w:color="auto" w:fill="F2F5FB"/>
          </w:tcPr>
          <w:p>
            <w:r/>
            <w:r>
              <w:rPr>
                <w:b w:val="0"/>
                <w:i w:val="0"/>
                <w:sz w:val="19"/>
              </w:rPr>
              <w:t>No literature value found. Current placeholder (1.5×10⁴ dB/m) is an engineering assumption only.</w:t>
            </w:r>
          </w:p>
        </w:tc>
        <w:tc>
          <w:tcPr>
            <w:tcW w:type="dxa" w:w="4176"/>
            <w:shd w:val="clear" w:color="auto" w:fill="F2F5FB"/>
          </w:tcPr>
          <w:p>
            <w:r/>
            <w:r>
              <w:rPr>
                <w:b w:val="0"/>
                <w:i w:val="0"/>
                <w:color w:val="52514E"/>
                <w:sz w:val="19"/>
              </w:rPr>
              <w:t>—</w:t>
            </w:r>
          </w:p>
        </w:tc>
        <w:tc>
          <w:tcPr>
            <w:tcW w:type="dxa" w:w="2592"/>
            <w:shd w:val="clear" w:color="auto" w:fill="F2F5FB"/>
          </w:tcPr>
          <w:p>
            <w:r/>
            <w:r>
              <w:rPr>
                <w:b w:val="0"/>
                <w:i/>
                <w:color w:val="52514E"/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i w:val="0"/>
                <w:sz w:val="19"/>
              </w:rPr>
              <w:t>Sidewall damage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No literature value found. Current placeholder (5.0×10⁴ dB/m) is an engineering assumption only.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color w:val="52514E"/>
                <w:sz w:val="19"/>
              </w:rPr>
              <w:t>Dry-etch damage is well documented qualitatively in GaN/III-N devices (increased roughness, surface non-radiative recombination) but not quantified as an absorption coefficient for AlN specifically.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/>
                <w:color w:val="52514E"/>
                <w:sz w:val="18"/>
              </w:rPr>
              <w:t>General III-N dry-etch-damage literature (qualitative only — no citation with a directly usable number found).</w:t>
            </w:r>
          </w:p>
        </w:tc>
      </w:tr>
    </w:tbl>
    <w:p>
      <w:pPr>
        <w:spacing w:before="120" w:after="320"/>
      </w:pPr>
      <w:r>
        <w:rPr>
          <w:i/>
          <w:color w:val="52514E"/>
          <w:sz w:val="18"/>
        </w:rPr>
        <w:t>Table 1. Literature-informed alpha0 estimates by mechanism, current model placeholders, and supporting citations.</w:t>
      </w:r>
    </w:p>
    <w:p>
      <w:pPr>
        <w:pStyle w:val="Heading1"/>
      </w:pPr>
      <w:r>
        <w:t>Caveats</w:t>
      </w:r>
    </w:p>
    <w:p>
      <w:pPr>
        <w:pStyle w:val="ListBullet"/>
      </w:pPr>
      <w:r>
        <w:rPr>
          <w:color w:val="0B0B0B"/>
          <w:sz w:val="21"/>
        </w:rPr>
        <w:t>Bulk crystal vs. thin film: the C/O quantitative anchor (60–80 cm⁻¹) comes from 500 µm PVT-grown bulk AlN substrates at [C] ≈ 10²⁰ cm⁻³ — grown specifically for deep-UV LED/laser substrates, not photonic-grade thin films. MOCVD/sputtered/MBE thin-film AlN cores typically carry orders of magnitude lower impurity concentrations. If point-defect absorption scales roughly linearly with impurity concentration (a common first approximation, not independently verified here for AlN), the device-relevant alpha0 could be 2–3 orders of magnitude below the bulk-crystal value — i.e. this table’s C/O numbers are best read as an upper bound, not a working estimate, unless your actual core material’s impurity concentration (e.g. from SIMS) is comparable to the bulk-crystal value.</w:t>
      </w:r>
    </w:p>
    <w:p>
      <w:pPr>
        <w:pStyle w:val="ListBullet"/>
      </w:pPr>
      <w:r>
        <w:rPr>
          <w:color w:val="0B0B0B"/>
          <w:sz w:val="21"/>
        </w:rPr>
        <w:t>C and O are not cleanly separable: the cited samples contain both carbon and oxygen/silicon donors simultaneously, and the measured 60–80 cm⁻¹ is the total broadband absorption, not a per-species decomposition. Treating this as an anchor for BOTH the C and O rows (rather than splitting it) is a simplification.</w:t>
      </w:r>
    </w:p>
    <w:p>
      <w:pPr>
        <w:pStyle w:val="ListBullet"/>
      </w:pPr>
      <w:r>
        <w:rPr>
          <w:color w:val="0B0B0B"/>
          <w:sz w:val="21"/>
        </w:rPr>
        <w:t>Dislocations are modeled as absorption here, but the literature treats them as a scattering mechanism (a volume-current-method calculation, the same family of method EMode itself uses for sidewall scattering) — localized index/strain perturbations radiate power into non-guided modes, rather than dissipating it as heat. Keeping "Dislocations" in the absorption-mechanism list is a reasonable practical simplification, but a more faithful implementation would add a dislocation-scattering term to scattering_model.py alongside the sidewall Payne-Lacey term, using the literature’s TM &gt; TE finding to also cross-check that scattering_model.py’s all-orientation, total-field-intensity simplification isn’t hiding the same effect.</w:t>
      </w:r>
    </w:p>
    <w:p>
      <w:pPr>
        <w:pStyle w:val="ListBullet"/>
      </w:pPr>
      <w:r>
        <w:rPr>
          <w:color w:val="0B0B0B"/>
          <w:sz w:val="21"/>
        </w:rPr>
        <w:t>Si impurities and all three sidewall mechanisms (oxidation ingress, sidewall contamination, sidewall damage) have no supporting literature value at all — their alpha0/L values remain pure engineering placeholders. Sidewall damage/contamination are process-specific enough (dependent on your exact etch recipe and any post-etch treatment) that a literature value from a different group’s process would be of questionable relevance even if one existed; a dedicated XPS/SIMS depth-profile of your own fabricated sidewalls would be the more direct path to a real number.</w:t>
      </w:r>
    </w:p>
    <w:p>
      <w:pPr>
        <w:pStyle w:val="Heading1"/>
      </w:pPr>
      <w:r>
        <w:t>References</w:t>
      </w:r>
    </w:p>
    <w:p>
      <w:pPr>
        <w:pStyle w:val="ListBullet"/>
      </w:pPr>
      <w:r>
        <w:rPr>
          <w:color w:val="0B0B0B"/>
          <w:sz w:val="21"/>
        </w:rPr>
        <w:t>H. C. Robinson, D. Danilin, M. S. I. Mollik, D. Wickramaratne, J. L. Lyons, V. Fedorov, S. Mirov, and M. E. Zvanut, "Charge-state control of carbon-related optical absorption in AlN," arXiv:2606.19615 (2026).</w:t>
      </w:r>
    </w:p>
    <w:p>
      <w:pPr>
        <w:pStyle w:val="ListBullet"/>
      </w:pPr>
      <w:r>
        <w:rPr>
          <w:color w:val="0B0B0B"/>
          <w:sz w:val="21"/>
        </w:rPr>
        <w:t>M. Bickermann, B. M. Epelbaum, O. Filip, P. Heimann, S. Nagata, and A. Winnacker, "The origin of 2.78 eV emission and yellow coloration in bulk AlN substrates," Appl. Phys. Lett. 95, 262104 (2009).</w:t>
      </w:r>
    </w:p>
    <w:p>
      <w:pPr>
        <w:pStyle w:val="ListBullet"/>
      </w:pPr>
      <w:r>
        <w:rPr>
          <w:color w:val="0B0B0B"/>
          <w:sz w:val="21"/>
        </w:rPr>
        <w:t>H. Chen, Y. Xie, and Y. Zhao (Arizona State University), "Study of crystalline defect induced optical scattering loss inside photonic waveguides in UV–visible spectral wavelengths using volume current method," Opt. Express 27(12), 17262–17271 (2019).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