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0B0B"/>
          <w:sz w:val="48"/>
        </w:rPr>
        <w:t>Loss vs. Dimensions Pipeline</w:t>
      </w:r>
    </w:p>
    <w:p>
      <w:pPr>
        <w:spacing w:after="280"/>
      </w:pPr>
      <w:r>
        <w:rPr>
          <w:color w:val="52514E"/>
          <w:sz w:val="26"/>
        </w:rPr>
        <w:t>Model description and operating guide</w:t>
      </w:r>
    </w:p>
    <w:p>
      <w:pPr>
        <w:spacing w:after="280"/>
      </w:pPr>
      <w:r>
        <w:rPr>
          <w:i/>
          <w:color w:val="52514E"/>
          <w:sz w:val="19"/>
        </w:rPr>
        <w:t>Revision 2 -- adds top/bottom (horizontal) scattering, dual calibration, and the TM00 mode-identity verification tool</w:t>
      </w:r>
    </w:p>
    <w:p>
      <w:pPr>
        <w:pBdr>
          <w:bottom w:val="single" w:sz="6" w:space="1" w:color="C3C2B7"/>
        </w:pBdr>
        <w:spacing w:after="240"/>
      </w:pPr>
    </w:p>
    <w:p>
      <w:pPr>
        <w:pStyle w:val="Heading1"/>
      </w:pPr>
      <w:r>
        <w:t>1. Overview</w:t>
      </w:r>
    </w:p>
    <w:p>
      <w:pPr>
        <w:spacing w:after="160"/>
      </w:pPr>
      <w:r>
        <w:rPr>
          <w:i w:val="0"/>
          <w:color w:val="0B0B0B"/>
          <w:sz w:val="21"/>
        </w:rPr>
        <w:t>This pipeline estimates propagation loss (dB/cm) for the fundamental TM00 mode of an AlN ridge waveguide as a function of core height and width, combining two mechanisms: sidewall AND top/bottom scattering (from surface roughness) and non-uniform material absorption (from growth-interface impurities/dislocations and sidewall damage/contamination).</w:t>
      </w:r>
    </w:p>
    <w:p>
      <w:pPr>
        <w:spacing w:after="160"/>
      </w:pPr>
      <w:r>
        <w:rPr>
          <w:i w:val="0"/>
          <w:color w:val="0B0B0B"/>
          <w:sz w:val="21"/>
        </w:rPr>
        <w:t>Two complementary computational strategies are used together. EMode (a commercial finite-difference mode solver) provides an initial, physically grounded reference for both mechanisms from a geometry sweep. A set of pure-Python models then reproduce/adapt that physics using the mode-field data exported from that sweep, so that once the initial EMode sweep and a one-time calibration are done, every subsequent exploration of different physical assumptions (roughness magnitude, absorption strength, defect penetration depth, etc.) happens instantly in Python — no further EMode calls, and no further consumption of EMode’s single-seat license.</w:t>
      </w:r>
    </w:p>
    <w:p>
      <w:pPr>
        <w:pStyle w:val="Heading1"/>
      </w:pPr>
      <w:r>
        <w:t>2. Architecture</w:t>
      </w:r>
    </w:p>
    <w:p>
      <w:pPr>
        <w:spacing w:after="160"/>
      </w:pPr>
      <w:r>
        <w:rPr>
          <w:i w:val="0"/>
          <w:color w:val="0B0B0B"/>
          <w:sz w:val="21"/>
        </w:rPr>
        <w:t>All files live in loss_vs_dimensions/ (a standalone deliverable, separate from the phase-matching pipeline, though it imports emode_helpers.py from there):</w:t>
      </w:r>
    </w:p>
    <w:p>
      <w:pPr>
        <w:spacing w:after="80"/>
      </w:pPr>
      <w:r>
        <w:rPr>
          <w:rFonts w:ascii="Consolas" w:hAnsi="Consolas"/>
          <w:b/>
          <w:color w:val="0B0B0B"/>
          <w:sz w:val="20"/>
        </w:rPr>
        <w:t>sweep_loss_vs_dimensions.py</w:t>
      </w:r>
      <w:r>
        <w:rPr>
          <w:color w:val="0B0B0B"/>
          <w:sz w:val="21"/>
        </w:rPr>
        <w:t xml:space="preserve">  —  Drives EMode: for each (h, w) point, builds the waveguide geometry, solves the lossless fundamental mode, computes EMode’s native scattering loss (vertical/horizontal/combined), and exports the mode’s field data for later Python-only reuse. Checkpointed/resumable, with a self-healing CSV schema migration and a live TE_fraction sanity print (see Section 7).</w:t>
      </w:r>
    </w:p>
    <w:p>
      <w:pPr>
        <w:spacing w:after="80"/>
      </w:pPr>
      <w:r>
        <w:rPr>
          <w:rFonts w:ascii="Consolas" w:hAnsi="Consolas"/>
          <w:b/>
          <w:color w:val="0B0B0B"/>
          <w:sz w:val="20"/>
        </w:rPr>
        <w:t>emode_export.py</w:t>
      </w:r>
      <w:r>
        <w:rPr>
          <w:color w:val="0B0B0B"/>
          <w:sz w:val="21"/>
        </w:rPr>
        <w:t xml:space="preserve">  —  EMode-facing extraction helpers (field/scattering data in the exact shapes EMode’s API returns, confirmed against a live diagnostic run) and the analytic core-geometry mask builder.</w:t>
      </w:r>
    </w:p>
    <w:p>
      <w:pPr>
        <w:spacing w:after="80"/>
      </w:pPr>
      <w:r>
        <w:rPr>
          <w:rFonts w:ascii="Consolas" w:hAnsi="Consolas"/>
          <w:b/>
          <w:color w:val="0B0B0B"/>
          <w:sz w:val="20"/>
        </w:rPr>
        <w:t>inspect_emode_outputs.py</w:t>
      </w:r>
      <w:r>
        <w:rPr>
          <w:color w:val="0B0B0B"/>
          <w:sz w:val="21"/>
        </w:rPr>
        <w:t xml:space="preserve">  —  One-time diagnostic confirming EMode’s return shapes/units. Already run and confirmed; kept for re-verification if EMode or solver settings change.</w:t>
      </w:r>
    </w:p>
    <w:p>
      <w:pPr>
        <w:spacing w:after="80"/>
      </w:pPr>
      <w:r>
        <w:rPr>
          <w:rFonts w:ascii="Consolas" w:hAnsi="Consolas"/>
          <w:b/>
          <w:color w:val="0B0B0B"/>
          <w:sz w:val="20"/>
        </w:rPr>
        <w:t>absorption_model.py</w:t>
      </w:r>
      <w:r>
        <w:rPr>
          <w:color w:val="0B0B0B"/>
          <w:sz w:val="21"/>
        </w:rPr>
        <w:t xml:space="preserve">  —  Pure-Python, EMode-free non-uniform absorption model — computes each named physical mechanism’s modal loss contribution from the exported mode profile.</w:t>
      </w:r>
    </w:p>
    <w:p>
      <w:pPr>
        <w:spacing w:after="80"/>
      </w:pPr>
      <w:r>
        <w:rPr>
          <w:rFonts w:ascii="Consolas" w:hAnsi="Consolas"/>
          <w:b/>
          <w:color w:val="0B0B0B"/>
          <w:sz w:val="20"/>
        </w:rPr>
        <w:t>scattering_model.py</w:t>
      </w:r>
      <w:r>
        <w:rPr>
          <w:color w:val="0B0B0B"/>
          <w:sz w:val="21"/>
        </w:rPr>
        <w:t xml:space="preserve">  —  Pure-Python, EMode-free adaptation of Payne-Lacey scattering theory, computed from the exported mode profile — sidewall (vertical) AND top/bottom (horizontal) terms, each independently calibrated. Needs fitted calibration_factor(s) for correct absolute values.</w:t>
      </w:r>
    </w:p>
    <w:p>
      <w:pPr>
        <w:spacing w:after="80"/>
      </w:pPr>
      <w:r>
        <w:rPr>
          <w:rFonts w:ascii="Consolas" w:hAnsi="Consolas"/>
          <w:b/>
          <w:color w:val="0B0B0B"/>
          <w:sz w:val="20"/>
        </w:rPr>
        <w:t>calibrate_scattering.py</w:t>
      </w:r>
      <w:r>
        <w:rPr>
          <w:color w:val="0B0B0B"/>
          <w:sz w:val="21"/>
        </w:rPr>
        <w:t xml:space="preserve">  —  Fits scattering_model.py’s vertical and horizontal calibration_factors independently, by least-squares against EMode’s native scattering_vertical_dB_per_m / scattering_horizontal_dB_per_m across a completed sweep; persists both fits.</w:t>
      </w:r>
    </w:p>
    <w:p>
      <w:pPr>
        <w:spacing w:after="80"/>
      </w:pPr>
      <w:r>
        <w:rPr>
          <w:rFonts w:ascii="Consolas" w:hAnsi="Consolas"/>
          <w:b/>
          <w:color w:val="0B0B0B"/>
          <w:sz w:val="20"/>
        </w:rPr>
        <w:t>plot_loss_vs_dimensions.py</w:t>
      </w:r>
      <w:r>
        <w:rPr>
          <w:color w:val="0B0B0B"/>
          <w:sz w:val="21"/>
        </w:rPr>
        <w:t xml:space="preserve">  —  Plotting/aggregation layer: loads sweep results, bundles every loss-contributor assumption into one dict, and produces the width/height (3-panel: scattering / absorption / total, linear or log-log), mechanism-breakdown, and 3-D surface plots.</w:t>
      </w:r>
    </w:p>
    <w:p>
      <w:pPr>
        <w:spacing w:after="80"/>
      </w:pPr>
      <w:r>
        <w:rPr>
          <w:rFonts w:ascii="Consolas" w:hAnsi="Consolas"/>
          <w:b/>
          <w:color w:val="0B0B0B"/>
          <w:sz w:val="20"/>
        </w:rPr>
        <w:t>verify_mode_profiles.py</w:t>
      </w:r>
      <w:r>
        <w:rPr>
          <w:color w:val="0B0B0B"/>
          <w:sz w:val="21"/>
        </w:rPr>
        <w:t xml:space="preserve">  —  Post-hoc TM00 mode-identity check, no EMode calls — plots |Ex|/|Ey|/|Ez| for every exported point to field_profile_plots/ and reports a quasi-TE/quasi-TM energy-fraction proxy, so every point (including ones solved before the live check existed) can be visually/numerically verified.</w:t>
      </w:r>
    </w:p>
    <w:p>
      <w:pPr>
        <w:spacing w:after="80"/>
      </w:pPr>
      <w:r>
        <w:rPr>
          <w:rFonts w:ascii="Consolas" w:hAnsi="Consolas"/>
          <w:b/>
          <w:color w:val="0B0B0B"/>
          <w:sz w:val="20"/>
        </w:rPr>
        <w:t>Loss_vs_Dimensions_Dev.ipynb</w:t>
      </w:r>
      <w:r>
        <w:rPr>
          <w:color w:val="0B0B0B"/>
          <w:sz w:val="21"/>
        </w:rPr>
        <w:t xml:space="preserve">  —  The interactive notebook that drives all of the above, organized into 9 numbered sections (Section 6 of this guide).</w:t>
      </w:r>
    </w:p>
    <w:p>
      <w:pPr>
        <w:pStyle w:val="Heading1"/>
      </w:pPr>
      <w:r>
        <w:t>3. Physics models</w:t>
      </w:r>
    </w:p>
    <w:p>
      <w:pPr>
        <w:pStyle w:val="Heading2"/>
      </w:pPr>
      <w:r>
        <w:t>3.1 Native EMode scattering (Volume Current Method)</w:t>
      </w:r>
    </w:p>
    <w:p>
      <w:pPr>
        <w:spacing w:after="160"/>
      </w:pPr>
      <w:r>
        <w:rPr>
          <w:i w:val="0"/>
          <w:color w:val="0B0B0B"/>
          <w:sz w:val="21"/>
        </w:rPr>
        <w:t>For each geometry point, an RMS roughness and correlation length are assigned to the core shape’s sidewalls (vertical interfaces) and top/bottom surfaces (horizontal interfaces) — per EMode’s own convention, both parameters are 2-element lists ordered [vertical, horizontal]. After solving the lossless mode, EMode’s built-in scattering calculation (Volume Current Method) gives the resulting loss separately for vertical and horizontal edges — confirmed empirically that their sum exactly equals the combined value EMode also reports. The pipeline logs all three (vertical / horizontal / combined) separately.</w:t>
      </w:r>
    </w:p>
    <w:p>
      <w:pPr>
        <w:pStyle w:val="Heading2"/>
      </w:pPr>
      <w:r>
        <w:t>3.2 Payne-Lacey-adapted scattering model</w:t>
      </w:r>
    </w:p>
    <w:p>
      <w:pPr>
        <w:spacing w:after="160"/>
      </w:pPr>
      <w:r>
        <w:rPr>
          <w:i w:val="0"/>
          <w:color w:val="0B0B0B"/>
          <w:sz w:val="21"/>
        </w:rPr>
        <w:t>scattering_model.py is a from-scratch reimplementation — not a reuse of EMode’s internal calculation — so that once a point’s mode field has been exported, scattering estimates can be recomputed instantly for any assumed roughness/correlation length without touching EMode again. It follows the physical framework of Payne &amp; Lacey’s classic perturbation theory (radiated power proportional to the roughness variance, the guided mode’s field intensity at the boundary, and the roughness’s power spectral density evaluated at the phase-matching condition with the cladding’s radiation continuum), but evaluates the boundary field intensity and guided power directly from the real, simulated 2-D mode profile rather than from the original paper’s idealized 1-D slab-waveguide formulas.</w:t>
      </w:r>
    </w:p>
    <w:p>
      <w:pPr>
        <w:spacing w:after="160"/>
      </w:pPr>
      <w:r>
        <w:rPr>
          <w:i w:val="0"/>
          <w:color w:val="0B0B0B"/>
          <w:sz w:val="21"/>
        </w:rPr>
        <w:t>Two independent terms are computed and summed for the "total scatter" reported elsewhere in this pipeline:</w:t>
      </w:r>
    </w:p>
    <w:p>
      <w:pPr>
        <w:pStyle w:val="ListBullet"/>
      </w:pPr>
      <w:r>
        <w:rPr>
          <w:color w:val="0B0B0B"/>
          <w:sz w:val="21"/>
        </w:rPr>
        <w:t>Sidewall (vertical): evaluates |E|^2 at the left/right core boundary in every grid row, against a single cladding index (the core is surrounded by the same top-cladding material on both sides in this geometry).</w:t>
      </w:r>
    </w:p>
    <w:p>
      <w:pPr>
        <w:pStyle w:val="ListBullet"/>
      </w:pPr>
      <w:r>
        <w:rPr>
          <w:color w:val="0B0B0B"/>
          <w:sz w:val="21"/>
        </w:rPr>
        <w:t>Top/bottom (horizontal): evaluates |E|^2 at the top and bottom core boundary in every grid column, SEPARATELY for the top surface (interfacing the top-cladding material) and the bottom surface (interfacing the substrate) — generally different materials with different index contrast against the core.</w:t>
      </w:r>
    </w:p>
    <w:p>
      <w:pPr>
        <w:spacing w:after="160"/>
      </w:pPr>
      <w:r>
        <w:rPr>
          <w:i w:val="0"/>
          <w:color w:val="0B0B0B"/>
          <w:sz w:val="21"/>
        </w:rPr>
        <w:t>Because of this adaptation, the model’s overall absolute scale is not pinned down by first principles and must be fixed empirically, independently for each term (Section 4). Once calibrated, cross-validation across a 105-point sweep (7 heights, 15 widths) showed R² = 0.99 for the sidewall term against EMode’s own native vertical-scattering value, and R² = 0.98 for the horizontal term against EMode’s native horizontal value — aggregate fit quality is good for both, but see Section 7 for an important caveat on the horizontal term’s PER-POINT behavior at extreme aspect ratios.</w:t>
      </w:r>
    </w:p>
    <w:p>
      <w:pPr>
        <w:pStyle w:val="Heading2"/>
      </w:pPr>
      <w:r>
        <w:t>3.3 Non-uniform absorption model</w:t>
      </w:r>
    </w:p>
    <w:p>
      <w:pPr>
        <w:spacing w:after="160"/>
      </w:pPr>
      <w:r>
        <w:rPr>
          <w:i w:val="0"/>
          <w:color w:val="0B0B0B"/>
          <w:sz w:val="21"/>
        </w:rPr>
        <w:t>Growth-interface impurities/dislocations and etched-sidewall defects are not uniformly distributed through the waveguide cross-section — they concentrate near the relevant physical boundary and fall off into the bulk. absorption_model.py represents each mechanism as a LOCAL power-absorption coefficient (alpha0, in dB/m) exactly at that boundary, decaying into the core with a chosen functional form (exponential or a hard step) over a characteristic penetration depth (L, in nm). Two localizations are supported: "interface" mechanisms decay upward from ONLY the bottom core/substrate interface (the top surface gets none of this contribution); "sidewall" mechanisms decay inward from BOTH the left and right sidewalls symmetrically.</w:t>
      </w:r>
    </w:p>
    <w:p>
      <w:pPr>
        <w:spacing w:after="160"/>
      </w:pPr>
      <w:r>
        <w:rPr>
          <w:i w:val="0"/>
          <w:color w:val="0B0B0B"/>
          <w:sz w:val="21"/>
        </w:rPr>
        <w:t>The resulting modal loss is the Poynting-flux-weighted spatial average of that local profile over the whole mode cross-section. Seven mechanisms are currently modeled — four growth-interface (dislocations, carbon/silicon/oxygen impurities) and three sidewall (oxidation ingress, contamination, mechanical/etch damage) — each independent and additive. See the companion literature-review document for which alpha0/L values are currently grounded in published measurements and which remain engineering placeholders.</w:t>
      </w:r>
    </w:p>
    <w:p>
      <w:pPr>
        <w:pStyle w:val="Heading1"/>
      </w:pPr>
      <w:r>
        <w:t>4. Calibration workflow</w:t>
      </w:r>
    </w:p>
    <w:p>
      <w:pPr>
        <w:pStyle w:val="ListNumber"/>
      </w:pPr>
      <w:r>
        <w:rPr>
          <w:color w:val="0B0B0B"/>
          <w:sz w:val="21"/>
        </w:rPr>
        <w:t>Run the EMode sweep (sweep_loss_vs_dimensions.py, Notebook Section 3) across the desired (h, w) grid, with a single, fixed roughness/correlation-length assumption for the whole sweep.</w:t>
      </w:r>
    </w:p>
    <w:p>
      <w:pPr>
        <w:pStyle w:val="ListNumber"/>
      </w:pPr>
      <w:r>
        <w:rPr>
          <w:color w:val="0B0B0B"/>
          <w:sz w:val="21"/>
        </w:rPr>
        <w:t>Fit BOTH Payne-Lacey calibration factors (calibrate_scattering.py, Notebook Section 4) by least-squares — the sidewall (vertical) factor against every point’s scattering_vertical_dB_per_m, and the top/bottom (horizontal) factor independently against scattering_horizontal_dB_per_m, each using that point’s own logged roughness/correlation-length values. Reports a per-point comparison table and an R² for each, and persists both fits (plus n_core/n_clad/n_substrate) to scattering_calibration.json.</w:t>
      </w:r>
    </w:p>
    <w:p>
      <w:pPr>
        <w:pStyle w:val="ListNumber"/>
      </w:pPr>
      <w:r>
        <w:rPr>
          <w:color w:val="0B0B0B"/>
          <w:sz w:val="21"/>
        </w:rPr>
        <w:t>From this point on, scattering contributions are computed by scattering_model.py using the persisted calibration factors — no further EMode calls are required, even to explore roughness/correlation-length assumptions different from the ones actually used in the EMode sweep, since calibration transfers the overall scale, not a specific roughness value.</w:t>
      </w:r>
    </w:p>
    <w:p>
      <w:pPr>
        <w:pStyle w:val="Heading1"/>
      </w:pPr>
      <w:r>
        <w:t>5. Data flow and outputs</w:t>
      </w:r>
    </w:p>
    <w:p>
      <w:pPr>
        <w:spacing w:after="80"/>
      </w:pPr>
      <w:r>
        <w:rPr>
          <w:rFonts w:ascii="Consolas" w:hAnsi="Consolas"/>
          <w:b/>
          <w:color w:val="0B0B0B"/>
          <w:sz w:val="20"/>
        </w:rPr>
        <w:t>loss_vs_dimensions_results.csv</w:t>
      </w:r>
      <w:r>
        <w:rPr>
          <w:color w:val="0B0B0B"/>
          <w:sz w:val="21"/>
        </w:rPr>
        <w:t xml:space="preserve">  —  One row per successfully solved (h, w) point: n_eff; EMode’s native scattering loss (combined / vertical-only / horizontal-only, dB/m); the roughness_rms/correlation_length values used; and the path to that point’s exported field data. Self-healing: a schema change (e.g. a new logged column) automatically migrates the file rather than silently corrupting it.</w:t>
      </w:r>
    </w:p>
    <w:p>
      <w:pPr>
        <w:spacing w:after="80"/>
      </w:pPr>
      <w:r>
        <w:rPr>
          <w:rFonts w:ascii="Consolas" w:hAnsi="Consolas"/>
          <w:b/>
          <w:color w:val="0B0B0B"/>
          <w:sz w:val="20"/>
        </w:rPr>
        <w:t>field_exports/h{height}_w{width}.npz</w:t>
      </w:r>
      <w:r>
        <w:rPr>
          <w:color w:val="0B0B0B"/>
          <w:sz w:val="21"/>
        </w:rPr>
        <w:t xml:space="preserve">  —  Per-point exported mode data: grid coordinates, Ex/Ey/Ez/Sz field components, the analytic core-region mask, n_eff, and the pump wavelength. This is the only file the Python-only models (absorption_model.py, scattering_model.py) actually depend on.</w:t>
      </w:r>
    </w:p>
    <w:p>
      <w:pPr>
        <w:spacing w:after="80"/>
      </w:pPr>
      <w:r>
        <w:rPr>
          <w:rFonts w:ascii="Consolas" w:hAnsi="Consolas"/>
          <w:b/>
          <w:color w:val="0B0B0B"/>
          <w:sz w:val="20"/>
        </w:rPr>
        <w:t>field_profile_plots/h{height}_w{width}.png</w:t>
      </w:r>
      <w:r>
        <w:rPr>
          <w:color w:val="0B0B0B"/>
          <w:sz w:val="21"/>
        </w:rPr>
        <w:t xml:space="preserve">  —  Per-point |Ex|/|Ey|/|Ez| field-distribution plots from verify_mode_profiles.py, for visually confirming TM00 mode identity (see Section 8 for an example).</w:t>
      </w:r>
    </w:p>
    <w:p>
      <w:pPr>
        <w:spacing w:after="80"/>
      </w:pPr>
      <w:r>
        <w:rPr>
          <w:rFonts w:ascii="Consolas" w:hAnsi="Consolas"/>
          <w:b/>
          <w:color w:val="0B0B0B"/>
          <w:sz w:val="20"/>
        </w:rPr>
        <w:t>scattering_calibration.json</w:t>
      </w:r>
      <w:r>
        <w:rPr>
          <w:color w:val="0B0B0B"/>
          <w:sz w:val="21"/>
        </w:rPr>
        <w:t xml:space="preserve">  —  The persisted calibration_factor (vertical) and calibration_factor_horizontal, their respective r_squared values, n_core, n_clad, n_substrate, and how many points the fit used.</w:t>
      </w:r>
    </w:p>
    <w:p>
      <w:pPr>
        <w:spacing w:before="80" w:after="200"/>
      </w:pPr>
      <w:r>
        <w:rPr>
          <w:i/>
          <w:color w:val="52514E"/>
          <w:sz w:val="19"/>
        </w:rPr>
        <w:t>Example (current, from a 105-point sweep): calibration_factor=0.922 (R²=0.990), calibration_factor_horizontal=1.302 (R²=0.983), n_core=2.111, n_clad=1.47, n_substrate=1.776. These numbers change every time the sweep or calibration is re-run — treat this as an illustration of the schema, not a fixed reference value.</w:t>
      </w:r>
    </w:p>
    <w:p>
      <w:pPr>
        <w:pStyle w:val="Heading1"/>
      </w:pPr>
      <w:r>
        <w:t>6. Operating the notebook</w:t>
      </w:r>
    </w:p>
    <w:p>
      <w:pPr>
        <w:spacing w:after="160"/>
      </w:pPr>
      <w:r>
        <w:rPr>
          <w:i w:val="0"/>
          <w:color w:val="0B0B0B"/>
          <w:sz w:val="21"/>
        </w:rPr>
        <w:t>Loss_vs_Dimensions_Dev.ipynb is organized into 9 sections. The first four involve EMode (license/time cost); the rest are pure Python and effectively instant.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448"/>
        <w:gridCol w:w="5616"/>
        <w:gridCol w:w="1008"/>
      </w:tblGrid>
      <w:tr>
        <w:tc>
          <w:tcPr>
            <w:tcW w:type="dxa" w:w="576"/>
            <w:shd w:val="clear" w:color="auto" w:fill="2A78D6"/>
          </w:tcPr>
          <w:p>
            <w:r/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48"/>
            <w:shd w:val="clear" w:color="auto" w:fill="2A78D6"/>
          </w:tcPr>
          <w:p>
            <w:r/>
            <w:r>
              <w:rPr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5616"/>
            <w:shd w:val="clear" w:color="auto" w:fill="2A78D6"/>
          </w:tcPr>
          <w:p>
            <w:r/>
            <w:r>
              <w:rPr>
                <w:b/>
                <w:i w:val="0"/>
                <w:color w:val="FFFFFF"/>
                <w:sz w:val="20"/>
              </w:rPr>
              <w:t>What it does</w:t>
            </w:r>
          </w:p>
        </w:tc>
        <w:tc>
          <w:tcPr>
            <w:tcW w:type="dxa" w:w="1008"/>
            <w:shd w:val="clear" w:color="auto" w:fill="2A78D6"/>
          </w:tcPr>
          <w:p>
            <w:r/>
            <w:r>
              <w:rPr>
                <w:b/>
                <w:i w:val="0"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b/>
                <w:i w:val="0"/>
                <w:sz w:val="19"/>
              </w:rPr>
              <w:t>Verify the core geometry mask convention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i w:val="0"/>
                <w:color w:val="52514E"/>
                <w:sz w:val="19"/>
              </w:rPr>
              <w:t>One-time visual sanity check.</w:t>
            </w:r>
          </w:p>
        </w:tc>
        <w:tc>
          <w:tcPr>
            <w:tcW w:type="dxa" w:w="1008"/>
          </w:tcPr>
          <w:p>
            <w:r/>
            <w:r>
              <w:rPr>
                <w:b/>
                <w:i w:val="0"/>
                <w:sz w:val="19"/>
              </w:rPr>
              <w:t>EMode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2448"/>
            <w:shd w:val="clear" w:color="auto" w:fill="F2F5FB"/>
          </w:tcPr>
          <w:p>
            <w:r/>
            <w:r>
              <w:rPr>
                <w:b/>
                <w:i w:val="0"/>
                <w:sz w:val="19"/>
              </w:rPr>
              <w:t>Re-run the EMode-output diagnostic (optional)</w:t>
            </w:r>
          </w:p>
        </w:tc>
        <w:tc>
          <w:tcPr>
            <w:tcW w:type="dxa" w:w="5616"/>
            <w:shd w:val="clear" w:color="auto" w:fill="F2F5FB"/>
          </w:tcPr>
          <w:p>
            <w:r/>
            <w:r>
              <w:rPr>
                <w:b w:val="0"/>
                <w:i w:val="0"/>
                <w:color w:val="52514E"/>
                <w:sz w:val="19"/>
              </w:rPr>
              <w:t>Only needed again if EMode’s return-value shapes are suspected to have changed.</w:t>
            </w:r>
          </w:p>
        </w:tc>
        <w:tc>
          <w:tcPr>
            <w:tcW w:type="dxa" w:w="1008"/>
            <w:shd w:val="clear" w:color="auto" w:fill="F2F5FB"/>
          </w:tcPr>
          <w:p>
            <w:r/>
            <w:r>
              <w:rPr>
                <w:b/>
                <w:i w:val="0"/>
                <w:sz w:val="19"/>
              </w:rPr>
              <w:t>EMode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b/>
                <w:i w:val="0"/>
                <w:sz w:val="19"/>
              </w:rPr>
              <w:t>Run the loss-vs-dimensions sweep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i w:val="0"/>
                <w:color w:val="52514E"/>
                <w:sz w:val="19"/>
              </w:rPr>
              <w:t>The main step. Sweep range (heights/widths) is editable directly in the notebook cell; checkpointed, so interrupting or extending the range only costs the new points.</w:t>
            </w:r>
          </w:p>
        </w:tc>
        <w:tc>
          <w:tcPr>
            <w:tcW w:type="dxa" w:w="1008"/>
          </w:tcPr>
          <w:p>
            <w:r/>
            <w:r>
              <w:rPr>
                <w:b/>
                <w:i w:val="0"/>
                <w:sz w:val="19"/>
              </w:rPr>
              <w:t>EMode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2448"/>
            <w:shd w:val="clear" w:color="auto" w:fill="F2F5FB"/>
          </w:tcPr>
          <w:p>
            <w:r/>
            <w:r>
              <w:rPr>
                <w:b/>
                <w:i w:val="0"/>
                <w:sz w:val="19"/>
              </w:rPr>
              <w:t>Fit scattering-model calibration factors</w:t>
            </w:r>
          </w:p>
        </w:tc>
        <w:tc>
          <w:tcPr>
            <w:tcW w:type="dxa" w:w="5616"/>
            <w:shd w:val="clear" w:color="auto" w:fill="F2F5FB"/>
          </w:tcPr>
          <w:p>
            <w:r/>
            <w:r>
              <w:rPr>
                <w:b w:val="0"/>
                <w:i w:val="0"/>
                <w:color w:val="52514E"/>
                <w:sz w:val="19"/>
              </w:rPr>
              <w:t>Reads the sweep’s results, no EMode call. Fits vertical AND horizontal factors. Re-run any time the sweep gains new points.</w:t>
            </w:r>
          </w:p>
        </w:tc>
        <w:tc>
          <w:tcPr>
            <w:tcW w:type="dxa" w:w="1008"/>
            <w:shd w:val="clear" w:color="auto" w:fill="F2F5FB"/>
          </w:tcPr>
          <w:p>
            <w:r/>
            <w:r>
              <w:rPr>
                <w:b w:val="0"/>
                <w:i w:val="0"/>
                <w:sz w:val="19"/>
              </w:rPr>
              <w:t>Python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b/>
                <w:i w:val="0"/>
                <w:sz w:val="19"/>
              </w:rPr>
              <w:t>Plot results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i w:val="0"/>
                <w:color w:val="52514E"/>
                <w:sz w:val="19"/>
              </w:rPr>
              <w:t>Top-level totals plot, using the calibrated Python model rather than the raw EMode number.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Python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2448"/>
            <w:shd w:val="clear" w:color="auto" w:fill="F2F5FB"/>
          </w:tcPr>
          <w:p>
            <w:r/>
            <w:r>
              <w:rPr>
                <w:b/>
                <w:i w:val="0"/>
                <w:sz w:val="19"/>
              </w:rPr>
              <w:t>Explore absorption assumptions interactively</w:t>
            </w:r>
          </w:p>
        </w:tc>
        <w:tc>
          <w:tcPr>
            <w:tcW w:type="dxa" w:w="5616"/>
            <w:shd w:val="clear" w:color="auto" w:fill="F2F5FB"/>
          </w:tcPr>
          <w:p>
            <w:r/>
            <w:r>
              <w:rPr>
                <w:b w:val="0"/>
                <w:i w:val="0"/>
                <w:color w:val="52514E"/>
                <w:sz w:val="19"/>
              </w:rPr>
              <w:t>Earlier single-mechanism scratch cell; superseded in practice by Section 8.</w:t>
            </w:r>
          </w:p>
        </w:tc>
        <w:tc>
          <w:tcPr>
            <w:tcW w:type="dxa" w:w="1008"/>
            <w:shd w:val="clear" w:color="auto" w:fill="F2F5FB"/>
          </w:tcPr>
          <w:p>
            <w:r/>
            <w:r>
              <w:rPr>
                <w:b w:val="0"/>
                <w:i w:val="0"/>
                <w:sz w:val="19"/>
              </w:rPr>
              <w:t>Python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2448"/>
          </w:tcPr>
          <w:p>
            <w:r/>
            <w:r>
              <w:rPr>
                <w:b/>
                <w:i w:val="0"/>
                <w:sz w:val="19"/>
              </w:rPr>
              <w:t>Compare Payne-Lacey (adapted) vs. EMode-native scattering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i w:val="0"/>
                <w:color w:val="52514E"/>
                <w:sz w:val="19"/>
              </w:rPr>
              <w:t>Calibration cross-check plot (sidewall-only, both models, same roughness assumption).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Python</w:t>
            </w:r>
          </w:p>
        </w:tc>
      </w:tr>
      <w:tr>
        <w:tc>
          <w:tcPr>
            <w:tcW w:type="dxa" w:w="576"/>
            <w:shd w:val="clear" w:color="auto" w:fill="F2F5FB"/>
          </w:tcPr>
          <w:p>
            <w:r/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2448"/>
            <w:shd w:val="clear" w:color="auto" w:fill="F2F5FB"/>
          </w:tcPr>
          <w:p>
            <w:r/>
            <w:r>
              <w:rPr>
                <w:b/>
                <w:i w:val="0"/>
                <w:sz w:val="19"/>
              </w:rPr>
              <w:t>Live loss-contributor assumptions</w:t>
            </w:r>
          </w:p>
        </w:tc>
        <w:tc>
          <w:tcPr>
            <w:tcW w:type="dxa" w:w="5616"/>
            <w:shd w:val="clear" w:color="auto" w:fill="F2F5FB"/>
          </w:tcPr>
          <w:p>
            <w:r/>
            <w:r>
              <w:rPr>
                <w:b w:val="0"/>
                <w:i w:val="0"/>
                <w:color w:val="52514E"/>
                <w:sz w:val="19"/>
              </w:rPr>
              <w:t>The primary day-to-day workflow. Fully self-contained. One cell holds every tunable input (sidewall AND top/bottom sigma/Lc, n_core/n_clad/n_substrate, both calibration factors, all mechanisms) in one place — edit and re-run to update the 3-panel width/height plot, per-mechanism breakdown, and 3-D loss-vs-(h,w) surface immediately.</w:t>
            </w:r>
          </w:p>
        </w:tc>
        <w:tc>
          <w:tcPr>
            <w:tcW w:type="dxa" w:w="1008"/>
            <w:shd w:val="clear" w:color="auto" w:fill="F2F5FB"/>
          </w:tcPr>
          <w:p>
            <w:r/>
            <w:r>
              <w:rPr>
                <w:b w:val="0"/>
                <w:i w:val="0"/>
                <w:sz w:val="19"/>
              </w:rPr>
              <w:t>Python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2448"/>
          </w:tcPr>
          <w:p>
            <w:r/>
            <w:r>
              <w:rPr>
                <w:b/>
                <w:i w:val="0"/>
                <w:sz w:val="19"/>
              </w:rPr>
              <w:t>Verify TM00 mode identity across the sweep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i w:val="0"/>
                <w:color w:val="52514E"/>
                <w:sz w:val="19"/>
              </w:rPr>
              <w:t>Plots |Ex|/|Ey|/|Ez| and a quasi-TE/quasi-TM energy-fraction proxy for every exported point, to field_profile_plots/ — works even on points solved before this check existed.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Python</w:t>
            </w:r>
          </w:p>
        </w:tc>
      </w:tr>
    </w:tbl>
    <w:p>
      <w:pPr>
        <w:spacing w:before="120" w:after="320"/>
      </w:pPr>
      <w:r>
        <w:rPr>
          <w:i/>
          <w:color w:val="52514E"/>
          <w:sz w:val="18"/>
        </w:rPr>
        <w:t>Table 1. Notebook sections, what each does, and whether it consumes the EMode license.</w:t>
      </w:r>
    </w:p>
    <w:p>
      <w:pPr>
        <w:spacing w:after="160"/>
      </w:pPr>
      <w:r>
        <w:rPr>
          <w:i/>
          <w:color w:val="52514E"/>
          <w:sz w:val="21"/>
        </w:rPr>
        <w:t>Day-to-day workflow once a sweep and calibration exist: reload the notebook file, jump straight to Section 8, edit the assumptions cell, re-run the plotting cell. Sections 1–4 only need to be re-run when adding new (h, w) geometry, changing roughness assumptions, or after a schema/code change. Section 9 is a good habit to re-run after any new sweep, to catch a mode-identity problem before trusting the numbers.</w:t>
      </w:r>
    </w:p>
    <w:p>
      <w:pPr>
        <w:pStyle w:val="Heading1"/>
      </w:pPr>
      <w:r>
        <w:t>7. Example: TM00 mode-profile verification</w:t>
      </w:r>
    </w:p>
    <w:p>
      <w:pPr>
        <w:spacing w:after="160"/>
      </w:pPr>
      <w:r>
        <w:rPr>
          <w:i w:val="0"/>
          <w:color w:val="0B0B0B"/>
          <w:sz w:val="21"/>
        </w:rPr>
        <w:t>Output of verify_mode_profiles.py for one point (h=340 nm, w=400 nm) from the current sweep. |Ey| (center) shows a clean, single-lobe fundamental-mode profile centered in the core (orange outline) — the hallmark of a well-identified TM00 mode. |Ex| (left) shows the characteristic four-lobe cross-polarization pattern expected for the weak orthogonal component at a rectangular index discontinuity (real physics, not a defect). |Ez| (right) shows the expected two-lobe longitudinal component. This point’s energy-fraction proxy was Ex=0.1%, Ey=93.3%, Ez=6.5% — far below the 10% flag threshold.</w:t>
      </w:r>
    </w:p>
    <w:p>
      <w:r>
        <w:drawing>
          <wp:inline xmlns:a="http://schemas.openxmlformats.org/drawingml/2006/main" xmlns:pic="http://schemas.openxmlformats.org/drawingml/2006/picture">
            <wp:extent cx="5760720" cy="19054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40.0_w400.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5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20"/>
      </w:pPr>
      <w:r>
        <w:rPr>
          <w:i/>
          <w:color w:val="52514E"/>
          <w:sz w:val="18"/>
        </w:rPr>
        <w:t>Figure 1. Example TM00 mode-profile verification plot (h=340 nm, w=400 nm).</w:t>
      </w:r>
    </w:p>
    <w:p>
      <w:pPr>
        <w:pStyle w:val="Heading1"/>
      </w:pPr>
      <w:r>
        <w:t>8. Known limitations and open items</w:t>
      </w:r>
    </w:p>
    <w:p>
      <w:pPr>
        <w:pStyle w:val="ListBullet"/>
      </w:pPr>
      <w:r>
        <w:rPr>
          <w:color w:val="0B0B0B"/>
          <w:sz w:val="21"/>
        </w:rPr>
        <w:t>The horizontal (top/bottom) Payne-Lacey scattering term’s aggregate fit quality looks good (R²=0.98 across 105 points), but its PER-POINT residuals diverge badly for tall, narrow cores: ratios of calibrated-model to EMode-native reach ~2–3× for h ≥ 600 nm at w ≤ 400 nm, while the sidewall (vertical) term stays within ~±20% across the whole grid. Treat "total scatter" and "total loss" results with more caution than sidewall-only ones for that geometry range until this is investigated further — the likely cause is the top/bottom boundary-intensity simplification breaking down at extreme aspect ratios, but this hasn’t been confirmed.</w:t>
      </w:r>
    </w:p>
    <w:p>
      <w:pPr>
        <w:pStyle w:val="ListBullet"/>
      </w:pPr>
      <w:r>
        <w:rPr>
          <w:color w:val="0B0B0B"/>
          <w:sz w:val="21"/>
        </w:rPr>
        <w:t>The core-boundary geometry mask (used by both Python-only models to know where the waveguide cross-section actually is) is reconstructed analytically from the nominal (h, w, sidewall_angle) parameters rather than read back from EMode’s own solved permittivity map. It has been cross-checked visually against EMode’s own shape/index plot for one representative geometry, not validated across the full sweep range.</w:t>
      </w:r>
    </w:p>
    <w:p>
      <w:pPr>
        <w:pStyle w:val="ListBullet"/>
      </w:pPr>
      <w:r>
        <w:rPr>
          <w:color w:val="0B0B0B"/>
          <w:sz w:val="21"/>
        </w:rPr>
        <w:t>scattering_model.py’s absolute scale depends entirely on the empirical calibration factors; if the assumed core/cladding/substrate refractive indices, roughness statistics, or wavelength change substantially from what was used to derive the current fits, they should be re-validated.</w:t>
      </w:r>
    </w:p>
    <w:p>
      <w:pPr>
        <w:pStyle w:val="ListBullet"/>
      </w:pPr>
      <w:r>
        <w:rPr>
          <w:color w:val="0B0B0B"/>
          <w:sz w:val="21"/>
        </w:rPr>
        <w:t>The TM00 mode-identity check (Section 9 / verify_mode_profiles.py) uses an E-field energy-fraction proxy, not EMode’s own internal TE_fraction calculation (which may use the H-field structure, not exported here). It correlates well and found zero flagged points across the current 105-point sweep, but is not guaranteed to exactly match EMode’s number in every case — the field plots themselves remain the more trustworthy check.</w:t>
      </w:r>
    </w:p>
    <w:p>
      <w:pPr>
        <w:pStyle w:val="ListBullet"/>
      </w:pPr>
      <w:r>
        <w:rPr>
          <w:color w:val="0B0B0B"/>
          <w:sz w:val="21"/>
        </w:rPr>
        <w:t>Several absorption mechanisms (silicon impurities; all three sidewall-specific mechanisms) currently have no supporting literature value for their alpha0/L parameters — see the companion literature-review document.</w:t>
      </w:r>
    </w:p>
    <w:p>
      <w:pPr>
        <w:pStyle w:val="ListBullet"/>
      </w:pPr>
      <w:r>
        <w:rPr>
          <w:color w:val="0B0B0B"/>
          <w:sz w:val="21"/>
        </w:rPr>
        <w:t>Dislocations are modeled here as an absorption mechanism for practical simplicity; the literature actually treats dislocation-induced loss as a scattering process, with a documented TM &gt; TE polarization dependence not currently reflected in either the absorption or scattering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