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Finance report, Q3 2026</w:t>
      </w:r>
    </w:p>
    <w:p w14:paraId="4C32E1FB" w14:textId="58C17D47">
      <w:pPr>
        <w:pStyle w:val="Heading2"/>
      </w:pPr>
      <w:r>
        <w:t>Highlights</w:t>
      </w:r>
    </w:p>
    <w:p w14:paraId="16425160" w14:textId="0D5C0E97">
      <w:r>
        <w:t>Revenue for the quarter was EUR 48.2 million, 3% above budget.</w:t>
      </w:r>
    </w:p>
    <w:p w14:paraId="3B212964" w14:textId="619A6E8C">
      <w:r>
        <w:t>Operating costs held flat; the energy hedge saved EUR 0.6 million.</w:t>
      </w:r>
    </w:p>
    <w:p w14:paraId="12972045" w14:textId="676FEA6E">
      <w:r>
        <w:t>Cash conversion improved to 91% after the new invoicing run.</w:t>
      </w:r>
    </w:p>
    <w:p w14:paraId="4B50F4CD" w14:textId="675EF9F9">
      <w:pPr>
        <w:pStyle w:val="Heading2"/>
      </w:pPr>
      <w:r>
        <w:t>Detail</w:t>
      </w:r>
    </w:p>
    <w:p w14:paraId="77B9C794" w14:textId="6E80C291">
      <w:r>
        <w:t>The detail of this report is for the department's own review and does not go to the board.</w:t>
      </w:r>
    </w:p>
    <w:p w14:paraId="69E36C9F" w14:textId="0DAC5866">
      <w:pPr>
        <w:pStyle w:val="Heading2"/>
      </w:pPr>
      <w:r>
        <w:t>Next quarter</w:t>
      </w:r>
    </w:p>
    <w:p w14:paraId="058B17C9" w14:textId="78688CBC">
      <w:r>
        <w:t>Plans for the fourth quarter follow in the October update.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report, Q3 2026</dc:title>
  <dc:subject/>
  <dc:creator>Finance department</dc:creator>
  <cp:keywords/>
  <dc:description/>
  <cp:lastModifiedBy>Finance department</cp:lastModifiedBy>
  <cp:revision>1</cp:revision>
  <dcterms:created xsi:type="dcterms:W3CDTF">2026-10-07T22:40:45Z</dcterms:created>
  <dcterms:modified xsi:type="dcterms:W3CDTF">2026-10-07T22:40:45Z</dcterms:modified>
</cp:coreProperties>
</file>