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IT report, Q3 2026</w:t>
      </w:r>
    </w:p>
    <w:p w14:paraId="4C32E1FB" w14:textId="58C17D47">
      <w:pPr>
        <w:pStyle w:val="Heading2"/>
      </w:pPr>
      <w:r>
        <w:t>Highlights</w:t>
      </w:r>
    </w:p>
    <w:p w14:paraId="16425160" w14:textId="0D5C0E97">
      <w:r>
        <w:t>The warehouse system upgrade went live on 14 August without downtime.</w:t>
      </w:r>
    </w:p>
    <w:p w14:paraId="3B212964" w14:textId="619A6E8C">
      <w:r>
        <w:t>Phishing simulations showed a click rate of 3.1%, down from 5.4%.</w:t>
      </w:r>
    </w:p>
    <w:p w14:paraId="12972045" w14:textId="676FEA6E">
      <w:r>
        <w:t>The data centre exit is on track for the end of the first quarter.</w:t>
      </w:r>
    </w:p>
    <w:p w14:paraId="4B50F4CD" w14:textId="675EF9F9">
      <w:pPr>
        <w:pStyle w:val="Heading2"/>
      </w:pPr>
      <w:r>
        <w:t>Detail</w:t>
      </w:r>
    </w:p>
    <w:p w14:paraId="77B9C794" w14:textId="6E80C291">
      <w:r>
        <w:t>The detail of this report is for the department's own review and does not go to the board.</w:t>
      </w:r>
    </w:p>
    <w:p w14:paraId="69E36C9F" w14:textId="0DAC5866">
      <w:pPr>
        <w:pStyle w:val="Heading2"/>
      </w:pPr>
      <w:r>
        <w:t>Next quarter</w:t>
      </w:r>
    </w:p>
    <w:p w14:paraId="058B17C9" w14:textId="78688CBC">
      <w:r>
        <w:t>Plans for the fourth quarter follow in the October update.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docx-agent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report, Q3 2026</dc:title>
  <dc:subject/>
  <dc:creator>IT department</dc:creator>
  <cp:keywords/>
  <dc:description/>
  <cp:lastModifiedBy>IT department</cp:lastModifiedBy>
  <cp:revision>1</cp:revision>
  <dcterms:created xsi:type="dcterms:W3CDTF">2026-10-07T22:40:45Z</dcterms:created>
  <dcterms:modified xsi:type="dcterms:W3CDTF">2026-10-07T22:40:45Z</dcterms:modified>
</cp:coreProperties>
</file>