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Operations report, Q3 2026</w:t>
      </w:r>
    </w:p>
    <w:p w14:paraId="4C32E1FB" w14:textId="58C17D47">
      <w:pPr>
        <w:pStyle w:val="Heading2"/>
      </w:pPr>
      <w:r>
        <w:t>Highlights</w:t>
      </w:r>
    </w:p>
    <w:p w14:paraId="16425160" w14:textId="0D5C0E97">
      <w:r>
        <w:t>On-time delivery reached 96.4%, the best quarter this year.</w:t>
      </w:r>
    </w:p>
    <w:p w14:paraId="3B212964" w14:textId="619A6E8C">
      <w:r>
        <w:t>The Rotterdam hub absorbed two new retail customers without overtime.</w:t>
      </w:r>
    </w:p>
    <w:p w14:paraId="12972045" w14:textId="676FEA6E">
      <w:r>
        <w:t>Two forklift incidents were reported; neither caused injury.</w:t>
      </w:r>
    </w:p>
    <w:p w14:paraId="4B50F4CD" w14:textId="675EF9F9">
      <w:pPr>
        <w:pStyle w:val="Heading2"/>
      </w:pPr>
      <w:r>
        <w:t>Detail</w:t>
      </w:r>
    </w:p>
    <w:p w14:paraId="77B9C794" w14:textId="6E80C291">
      <w:r>
        <w:t>The detail of this report is for the department's own review and does not go to the board.</w:t>
      </w:r>
    </w:p>
    <w:p w14:paraId="69E36C9F" w14:textId="0DAC5866">
      <w:pPr>
        <w:pStyle w:val="Heading2"/>
      </w:pPr>
      <w:r>
        <w:t>Next quarter</w:t>
      </w:r>
    </w:p>
    <w:p w14:paraId="058B17C9" w14:textId="78688CBC">
      <w:r>
        <w:t>Plans for the fourth quarter follow in the October update.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report, Q3 2026</dc:title>
  <dc:subject/>
  <dc:creator>Operations department</dc:creator>
  <cp:keywords/>
  <dc:description/>
  <cp:lastModifiedBy>Operations department</cp:lastModifiedBy>
  <cp:revision>1</cp:revision>
  <dcterms:created xsi:type="dcterms:W3CDTF">2026-10-07T22:40:45Z</dcterms:created>
  <dcterms:modified xsi:type="dcterms:W3CDTF">2026-10-07T22:40:45Z</dcterms:modified>
</cp:coreProperties>
</file>