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534E" w14:textId="4630598B">
      <w:pPr>
        <w:pStyle w:val="Heading1"/>
      </w:pPr>
      <w:r>
        <w:t>People report, Q3 2026</w:t>
      </w:r>
    </w:p>
    <w:p w14:paraId="4C32E1FB" w14:textId="58C17D47">
      <w:pPr>
        <w:pStyle w:val="Heading2"/>
      </w:pPr>
      <w:r>
        <w:t>Highlights</w:t>
      </w:r>
    </w:p>
    <w:p w14:paraId="16425160" w14:textId="0D5C0E97">
      <w:r>
        <w:t>Headcount rose by 14 to 612, mostly in the Rotterdam hub.</w:t>
      </w:r>
    </w:p>
    <w:p w14:paraId="3B212964" w14:textId="619A6E8C">
      <w:r>
        <w:t>Voluntary turnover fell to 7.8% on a twelve-month basis.</w:t>
      </w:r>
    </w:p>
    <w:p w14:paraId="12972045" w14:textId="676FEA6E">
      <w:r>
        <w:t>The leadership programme's first cohort of 18 graduated in September.</w:t>
      </w:r>
    </w:p>
    <w:p w14:paraId="4B50F4CD" w14:textId="675EF9F9">
      <w:pPr>
        <w:pStyle w:val="Heading2"/>
      </w:pPr>
      <w:r>
        <w:t>Detail</w:t>
      </w:r>
    </w:p>
    <w:p w14:paraId="77B9C794" w14:textId="6E80C291">
      <w:r>
        <w:t>The detail of this report is for the department's own review and does not go to the board.</w:t>
      </w:r>
    </w:p>
    <w:p w14:paraId="69E36C9F" w14:textId="0DAC5866">
      <w:pPr>
        <w:pStyle w:val="Heading2"/>
      </w:pPr>
      <w:r>
        <w:t>Next quarter</w:t>
      </w:r>
    </w:p>
    <w:p w14:paraId="058B17C9" w14:textId="78688CBC">
      <w:r>
        <w:t>Plans for the fourth quarter follow in the October update.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docx-agent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report, Q3 2026</dc:title>
  <dc:subject/>
  <dc:creator>People department</dc:creator>
  <cp:keywords/>
  <dc:description/>
  <cp:lastModifiedBy>People department</cp:lastModifiedBy>
  <cp:revision>1</cp:revision>
  <dcterms:created xsi:type="dcterms:W3CDTF">2026-10-07T22:40:45Z</dcterms:created>
  <dcterms:modified xsi:type="dcterms:W3CDTF">2026-10-07T22:40:45Z</dcterms:modified>
</cp:coreProperties>
</file>