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534E" w14:textId="4630598B">
      <w:pPr>
        <w:pStyle w:val="Heading1"/>
      </w:pPr>
      <w:r>
        <w:t>Sales report, Q3 2026</w:t>
      </w:r>
    </w:p>
    <w:p w14:paraId="4C32E1FB" w14:textId="58C17D47">
      <w:pPr>
        <w:pStyle w:val="Heading2"/>
      </w:pPr>
      <w:r>
        <w:t>Highlights</w:t>
      </w:r>
    </w:p>
    <w:p w14:paraId="16425160" w14:textId="0D5C0E97">
      <w:r>
        <w:t>Bookings were EUR 52.0 million, with a book-to-bill ratio of 1.08.</w:t>
      </w:r>
    </w:p>
    <w:p w14:paraId="3B212964" w14:textId="619A6E8C">
      <w:r>
        <w:t>Two framework agreements were renewed for three years.</w:t>
      </w:r>
    </w:p>
    <w:p w14:paraId="12972045" w14:textId="676FEA6E">
      <w:r>
        <w:t>The pipeline for the fourth quarter stands at EUR 140 million.</w:t>
      </w:r>
    </w:p>
    <w:p w14:paraId="4B50F4CD" w14:textId="675EF9F9">
      <w:pPr>
        <w:pStyle w:val="Heading2"/>
      </w:pPr>
      <w:r>
        <w:t>Detail</w:t>
      </w:r>
    </w:p>
    <w:p w14:paraId="77B9C794" w14:textId="6E80C291">
      <w:r>
        <w:t>The detail of this report is for the department's own review and does not go to the board.</w:t>
      </w:r>
    </w:p>
    <w:p w14:paraId="69E36C9F" w14:textId="0DAC5866">
      <w:pPr>
        <w:pStyle w:val="Heading2"/>
      </w:pPr>
      <w:r>
        <w:t>Next quarter</w:t>
      </w:r>
    </w:p>
    <w:p w14:paraId="058B17C9" w14:textId="78688CBC">
      <w:r>
        <w:t>Plans for the fourth quarter follow in the October update.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docx-agent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report, Q3 2026</dc:title>
  <dc:subject/>
  <dc:creator>Sales department</dc:creator>
  <cp:keywords/>
  <dc:description/>
  <cp:lastModifiedBy>Sales department</cp:lastModifiedBy>
  <cp:revision>1</cp:revision>
  <dcterms:created xsi:type="dcterms:W3CDTF">2026-10-07T22:40:45Z</dcterms:created>
  <dcterms:modified xsi:type="dcterms:W3CDTF">2026-10-07T22:40:45Z</dcterms:modified>
</cp:coreProperties>
</file>