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Travel policy</w:t>
      </w:r>
    </w:p>
    <w:p w14:paraId="4C32E1FB" w14:textId="58C17D47">
      <w:pPr>
        <w:pStyle w:val="Heading2"/>
      </w:pPr>
      <w:r>
        <w:t>Scope</w:t>
      </w:r>
    </w:p>
    <w:p w14:paraId="16425160" w14:textId="0D5C0E97">
      <w:r>
        <w:t>This policy applies to every employee who travels for work.</w:t>
      </w:r>
    </w:p>
    <w:p w14:paraId="3B212964" w14:textId="619A6E8C">
      <w:pPr>
        <w:pStyle w:val="Heading2"/>
      </w:pPr>
      <w:r>
        <w:t>Booking</w:t>
      </w:r>
    </w:p>
    <w:p w14:paraId="12972045" w14:textId="676FEA6E">
      <w:r>
        <w:t>Book travel through the travel desk at least ten working days before departure.</w:t>
      </w:r>
    </w:p>
    <w:p w14:paraId="4B50F4CD" w14:textId="675EF9F9">
      <w:r>
        <w:t>Train is the default for journeys under five hours.</w:t>
      </w:r>
    </w:p>
    <w:p w14:paraId="77B9C794" w14:textId="6E80C291">
      <w:r>
        <w:rPr>
          <w:rFonts w:ascii="Arial" w:hAnsi="Arial" w:cs="Arial"/>
          <w:color w:val="1F3864"/>
          <w:sz w:val="20"/>
          <w:szCs w:val="20"/>
        </w:rPr>
        <w:t>Economy class is the default for flights; business class needs the approval of a director.</w:t>
      </w:r>
    </w:p>
    <w:p w14:paraId="69E36C9F" w14:textId="0DAC5866">
      <w:pPr>
        <w:pStyle w:val="Heading2"/>
      </w:pPr>
      <w:r>
        <w:t>Expenses</w:t>
      </w:r>
    </w:p>
    <w:p w14:paraId="058B17C9" w14:textId="78688CBC">
      <w:r>
        <w:t>Submit receipts within thirty days of return.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policy</dc:title>
  <dc:subject/>
  <dc:creator>HR</dc:creator>
  <cp:keywords/>
  <dc:description/>
  <cp:lastModifiedBy>HR</cp:lastModifiedBy>
  <cp:revision>1</cp:revision>
  <dcterms:created xsi:type="dcterms:W3CDTF">2026-10-07T22:40:45Z</dcterms:created>
  <dcterms:modified xsi:type="dcterms:W3CDTF">2026-10-07T22:40:45Z</dcterms:modified>
</cp:coreProperties>
</file>