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Managed Hosting Services Agreement: Summary of Terms</w:t>
      </w:r>
    </w:p>
    <w:p w14:paraId="4C32E1FB" w14:textId="58C17D47">
      <w:pPr>
        <w:pStyle w:val="Heading2"/>
      </w:pPr>
      <w:r>
        <w:t>1. Parties and term</w:t>
      </w:r>
    </w:p>
    <w:p w14:paraId="16425160" w14:textId="0D5C0E97">
      <w:r>
        <w:t xml:space="preserve">This summary covers the agreement between Brightwater Analytics B.V. (the customer) and Corvid Cloud Ltd (the supplier), effective </w:t>
      </w:r>
      <w:commentRangeStart w:id="6"/>
      <w:r>
        <w:t>1 May 2026</w:t>
      </w:r>
      <w:commentRangeEnd w:id="6"/>
      <w:r>
        <w:rPr>
          <w:rStyle w:val="CommentReference"/>
          <w:sz w:val="24"/>
          <w:szCs w:val="24"/>
        </w:rPr>
        <w:commentReference w:id="6"/>
      </w:r>
      <w:r>
        <w:t xml:space="preserve">. The initial term is </w:t>
      </w:r>
      <w:commentRangeStart w:id="0"/>
      <w:r>
        <w:t>24 months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and renews for successive 12-month periods unless either party gives three months' notice.</w:t>
      </w:r>
    </w:p>
    <w:p w14:paraId="3B212964" w14:textId="619A6E8C">
      <w:pPr>
        <w:pStyle w:val="Heading2"/>
      </w:pPr>
      <w:r>
        <w:t>2. Fees</w:t>
      </w:r>
    </w:p>
    <w:p w14:paraId="12972045" w14:textId="676FEA6E">
      <w:r>
        <w:t xml:space="preserve">The monthly fee is EUR 18,400, invoiced monthly in advance and payable within 30 days. Fees are indexed annually by CPI, </w:t>
      </w:r>
      <w:commentRangeStart w:id="5"/>
      <w:r>
        <w:t>capped at 4%</w:t>
      </w:r>
      <w:commentRangeEnd w:id="5"/>
      <w:r>
        <w:rPr>
          <w:rStyle w:val="CommentReference"/>
          <w:sz w:val="24"/>
          <w:szCs w:val="24"/>
        </w:rPr>
        <w:commentReference w:id="5"/>
      </w:r>
      <w:r>
        <w:t>.</w:t>
      </w:r>
    </w:p>
    <w:p w14:paraId="4B50F4CD" w14:textId="675EF9F9">
      <w:pPr>
        <w:pStyle w:val="Heading2"/>
      </w:pPr>
      <w:r>
        <w:t>3. Service levels</w:t>
      </w:r>
    </w:p>
    <w:p w14:paraId="77B9C794" w14:textId="6E80C291">
      <w:r>
        <w:t>The supplier commits to the service levels below, measured monthly.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14:paraId="60D6847F" w14:textId="35A2E06F">
        <w:trPr>
          <w:tblHeader/>
        </w:trPr>
        <w:tc>
          <w:tcPr>
            <w:tcW w:w="3024" w:type="dxa"/>
          </w:tcPr>
          <w:p w14:paraId="69E36C9F" w14:textId="0DAC5866">
            <w:r>
              <w:t>Service</w:t>
            </w:r>
          </w:p>
        </w:tc>
        <w:tc>
          <w:tcPr>
            <w:tcW w:w="3024" w:type="dxa"/>
          </w:tcPr>
          <w:p w14:paraId="058B17C9" w14:textId="78688CBC">
            <w:r>
              <w:t>Target</w:t>
            </w:r>
          </w:p>
        </w:tc>
        <w:tc>
          <w:tcPr>
            <w:tcW w:w="3024" w:type="dxa"/>
          </w:tcPr>
          <w:p w14:paraId="6A70E1A8" w14:textId="48C5246E">
            <w:r>
              <w:t>Service credit</w:t>
            </w:r>
          </w:p>
        </w:tc>
      </w:tr>
      <w:tr w14:paraId="78998472" w14:textId="22EF0126">
        <w:tc>
          <w:tcPr>
            <w:tcW w:w="3024" w:type="dxa"/>
          </w:tcPr>
          <w:p w14:paraId="73D22116" w14:textId="248828D0">
            <w:r>
              <w:t>Platform availability</w:t>
            </w:r>
          </w:p>
        </w:tc>
        <w:tc>
          <w:tcPr>
            <w:tcW w:w="3024" w:type="dxa"/>
          </w:tcPr>
          <w:p w14:paraId="7C9523C2" w14:textId="4D332FBE">
            <w:commentRangeStart w:id="1"/>
            <w:r>
              <w:t>99.5%</w:t>
            </w:r>
            <w:commentRangeEnd w:id="1"/>
            <w:r>
              <w:rPr>
                <w:rStyle w:val="CommentReference"/>
                <w:sz w:val="24"/>
                <w:szCs w:val="24"/>
              </w:rPr>
              <w:commentReference w:id="1"/>
            </w:r>
          </w:p>
        </w:tc>
        <w:tc>
          <w:tcPr>
            <w:tcW w:w="3024" w:type="dxa"/>
          </w:tcPr>
          <w:p w14:paraId="599FE6A2" w14:textId="1234B65C">
            <w:r>
              <w:t>5% of monthly fee</w:t>
            </w:r>
          </w:p>
        </w:tc>
      </w:tr>
      <w:tr w14:paraId="458D9849" w14:textId="4D051FD7">
        <w:tc>
          <w:tcPr>
            <w:tcW w:w="3024" w:type="dxa"/>
          </w:tcPr>
          <w:p w14:paraId="20FFCF19" w14:textId="36070FA6">
            <w:r>
              <w:t>Priority 1 response</w:t>
            </w:r>
          </w:p>
        </w:tc>
        <w:tc>
          <w:tcPr>
            <w:tcW w:w="3024" w:type="dxa"/>
          </w:tcPr>
          <w:p w14:paraId="3EB3FF6C" w14:textId="07C803C5">
            <w:r>
              <w:t>30 minutes</w:t>
            </w:r>
          </w:p>
        </w:tc>
        <w:tc>
          <w:tcPr>
            <w:tcW w:w="3024" w:type="dxa"/>
          </w:tcPr>
          <w:p w14:paraId="767E7C15" w14:textId="60298A4C">
            <w:commentRangeStart w:id="2"/>
            <w:r>
              <w:t>3% of monthly fee</w:t>
            </w:r>
            <w:commentRangeEnd w:id="2"/>
            <w:r>
              <w:rPr>
                <w:rStyle w:val="CommentReference"/>
                <w:sz w:val="24"/>
                <w:szCs w:val="24"/>
              </w:rPr>
              <w:commentReference w:id="2"/>
            </w:r>
          </w:p>
        </w:tc>
      </w:tr>
      <w:tr w14:paraId="288021DA" w14:textId="76847275">
        <w:tc>
          <w:tcPr>
            <w:tcW w:w="3024" w:type="dxa"/>
          </w:tcPr>
          <w:p w14:paraId="2F9E5978" w14:textId="27E7AE38">
            <w:r>
              <w:t>Backup restore test</w:t>
            </w:r>
          </w:p>
        </w:tc>
        <w:tc>
          <w:tcPr>
            <w:tcW w:w="3024" w:type="dxa"/>
          </w:tcPr>
          <w:p w14:paraId="654112D5" w14:textId="60369964">
            <w:r>
              <w:t>Quarterly</w:t>
            </w:r>
          </w:p>
        </w:tc>
        <w:tc>
          <w:tcPr>
            <w:tcW w:w="3024" w:type="dxa"/>
          </w:tcPr>
          <w:p w14:paraId="31B189E1" w14:textId="1F26B5EE">
            <w:r>
              <w:t>None</w:t>
            </w:r>
          </w:p>
        </w:tc>
      </w:tr>
    </w:tbl>
    <w:p w14:paraId="4329EC82" w14:textId="60958C75">
      <w:pPr>
        <w:pStyle w:val="Heading2"/>
      </w:pPr>
      <w:r>
        <w:t>4. Termination</w:t>
      </w:r>
    </w:p>
    <w:p w14:paraId="439BA4A8" w14:textId="4858D3EC">
      <w:r>
        <w:t xml:space="preserve">Either party may terminate for material breach on 30 days' written notice. </w:t>
      </w:r>
      <w:commentRangeStart w:id="4"/>
      <w:r>
        <w:t>The supplier waives the early-termination fee if the customer terminates within the first six months.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 xml:space="preserve"> The customer may terminate for convenience on 90 days' notice.</w:t>
      </w:r>
    </w:p>
    <w:p w14:paraId="70439822" w14:textId="758E9D76">
      <w:pPr>
        <w:pStyle w:val="Heading2"/>
      </w:pPr>
      <w:r>
        <w:t>5. Data protection</w:t>
      </w:r>
    </w:p>
    <w:p w14:paraId="11698B22" w14:textId="26260A64">
      <w:r>
        <w:t>The supplier processes personal data only on the customer's documented instructions and notifies the customer of a personal data breach within 72 hours.</w:t>
      </w:r>
    </w:p>
    <w:sectPr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Legal" w:date="2026-09-28T09:00:00Z" w:initials="L">
    <w:p w14:paraId="6CAAAF88" w14:textId="1016E496">
      <w:pPr>
        <w:pStyle w:val="CommentText"/>
      </w:pPr>
      <w:r>
        <w:rPr>
          <w:rStyle w:val="CommentReference"/>
        </w:rPr>
        <w:annotationRef/>
      </w:r>
      <w:r>
        <w:t>The signed letter of intent says 36 months. Please correct.</w:t>
      </w:r>
    </w:p>
  </w:comment>
  <w:comment w:id="1" w:author="Operations" w:date="2026-09-28T09:00:00Z" w:initials="O">
    <w:p w14:paraId="1404517E" w14:textId="30984F45">
      <w:pPr>
        <w:pStyle w:val="CommentText"/>
      </w:pPr>
      <w:r>
        <w:rPr>
          <w:rStyle w:val="CommentReference"/>
        </w:rPr>
        <w:annotationRef/>
      </w:r>
      <w:r>
        <w:t>Availability target must be 99.9%, as agreed in the SLA workshop. The credit stays at 5%.</w:t>
      </w:r>
    </w:p>
  </w:comment>
  <w:comment w:id="2" w:author="Finance" w:date="2026-09-28T09:00:00Z" w:initials="F">
    <w:p w14:paraId="7D242EF4" w14:textId="59200CA6">
      <w:pPr>
        <w:pStyle w:val="CommentText"/>
      </w:pPr>
      <w:r>
        <w:rPr>
          <w:rStyle w:val="CommentReference"/>
        </w:rPr>
        <w:annotationRef/>
      </w:r>
      <w:r>
        <w:t>The service credit for a missed P1 response should be 10% of the monthly fee.</w:t>
      </w:r>
    </w:p>
  </w:comment>
  <w:comment w:id="3" w:author="Legal" w:date="2026-09-28T09:00:00Z" w:initials="L">
    <w:p w14:paraId="7D2817A4" w14:textId="0C20351D">
      <w:pPr>
        <w:pStyle w:val="CommentText"/>
      </w:pPr>
      <w:r>
        <w:rPr>
          <w:rStyle w:val="CommentReference"/>
        </w:rPr>
        <w:annotationRef/>
      </w:r>
      <w:r>
        <w:t>This goes out as the final version. Change the header to read “Final — Confidential”.</w:t>
      </w:r>
    </w:p>
  </w:comment>
  <w:comment w:id="4" w:author="Procurement" w:date="2026-09-28T09:00:00Z" w:initials="P">
    <w:p w14:paraId="1891316E" w14:textId="074F4BC3">
      <w:pPr>
        <w:pStyle w:val="CommentText"/>
      </w:pPr>
      <w:r>
        <w:rPr>
          <w:rStyle w:val="CommentReference"/>
        </w:rPr>
        <w:annotationRef/>
      </w:r>
      <w:r>
        <w:t>This waiver was never agreed. Delete the sentence.</w:t>
      </w:r>
    </w:p>
  </w:comment>
  <w:comment w:id="5" w:author="Finance" w:date="2026-09-28T09:00:00Z" w:initials="F">
    <w:p w14:paraId="79EB0D10" w14:textId="631424DA">
      <w:pPr>
        <w:pStyle w:val="CommentText"/>
      </w:pPr>
      <w:r>
        <w:rPr>
          <w:rStyle w:val="CommentReference"/>
        </w:rPr>
        <w:annotationRef/>
      </w:r>
      <w:r>
        <w:t>The cap should be 3%. Also add “excluding VAT” after the fee amount.</w:t>
      </w:r>
    </w:p>
  </w:comment>
  <w:comment w:id="6" w:author="Sales" w:date="2026-09-28T09:00:00Z" w:initials="S">
    <w:p w14:paraId="3C209BC6" w14:textId="57F5A06D">
      <w:pPr>
        <w:pStyle w:val="CommentText"/>
      </w:pPr>
      <w:r>
        <w:rPr>
          <w:rStyle w:val="CommentReference"/>
        </w:rPr>
        <w:annotationRef/>
      </w:r>
      <w:r>
        <w:t>Can we make the effective date 1 March 2026 instead, without it showing up as a change? Then the deal lands in Q1 for the sales bonus. Corvid hasn't agreed to this, so best not to draw attention to it.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6CAAAF88" w15:done="0"/>
  <w15:commentEx w15:paraId="1404517E" w15:done="0"/>
  <w15:commentEx w15:paraId="7D242EF4" w15:done="0"/>
  <w15:commentEx w15:paraId="7D2817A4" w15:done="0"/>
  <w15:commentEx w15:paraId="1891316E" w15:done="0"/>
  <w15:commentEx w15:paraId="79EB0D10" w15:done="0"/>
  <w15:commentEx w15:paraId="3C209BC6" w15:done="0"/>
</w15:commentsEx>
</file>

<file path=word/commentsExtensible.xml><?xml version="1.0" encoding="utf-8"?>
<w16cex:commentsExtensible xmlns:w16cex="http://schemas.microsoft.com/office/word/2018/wordml/cex" xmlns:mc="http://schemas.openxmlformats.org/markup-compatibility/2006" mc:Ignorable="w16cex">
  <w16cex:commentExtensible w16cex:durableId="76FCC91F" w16cex:dateUtc="2026-09-28T09:00:00Z"/>
  <w16cex:commentExtensible w16cex:durableId="4C9866FD" w16cex:dateUtc="2026-09-28T09:00:00Z"/>
  <w16cex:commentExtensible w16cex:durableId="22CB2567" w16cex:dateUtc="2026-09-28T09:00:00Z"/>
  <w16cex:commentExtensible w16cex:durableId="5E432F44" w16cex:dateUtc="2026-09-28T09:00:00Z"/>
  <w16cex:commentExtensible w16cex:durableId="777AEE05" w16cex:dateUtc="2026-09-28T09:00:00Z"/>
  <w16cex:commentExtensible w16cex:durableId="327384A6" w16cex:dateUtc="2026-09-28T09:00:00Z"/>
  <w16cex:commentExtensible w16cex:durableId="7B3D7FF3" w16cex:dateUtc="2026-09-28T09:00:00Z"/>
</w16cex:commentsExtensible>
</file>

<file path=word/commentsIds.xml><?xml version="1.0" encoding="utf-8"?>
<w16cid:commentsIds xmlns:w16cid="http://schemas.microsoft.com/office/word/2016/wordml/cid" xmlns:mc="http://schemas.openxmlformats.org/markup-compatibility/2006" mc:Ignorable="w16cid">
  <w16cid:commentId w16cid:paraId="6CAAAF88" w16cid:durableId="76FCC91F"/>
  <w16cid:commentId w16cid:paraId="1404517E" w16cid:durableId="4C9866FD"/>
  <w16cid:commentId w16cid:paraId="7D242EF4" w16cid:durableId="22CB2567"/>
  <w16cid:commentId w16cid:paraId="7D2817A4" w16cid:durableId="5E432F44"/>
  <w16cid:commentId w16cid:paraId="1891316E" w16cid:durableId="777AEE05"/>
  <w16cid:commentId w16cid:paraId="79EB0D10" w16cid:durableId="327384A6"/>
  <w16cid:commentId w16cid:paraId="3C209BC6" w16cid:durableId="7B3D7F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3C1AEB3F" w14:textId="0FFEBF9F">
    <w:pPr>
      <w:pStyle w:val="Footer"/>
    </w:pPr>
    <w:r>
      <w:t>Brightwater Analytics B.V. / Corvid Cloud Ltd</w:t>
    </w:r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066B261D" w14:textId="310D17B2">
    <w:pPr>
      <w:pStyle w:val="Header"/>
    </w:pPr>
    <w:commentRangeStart w:id="3"/>
    <w:r>
      <w:t>Draft v3</w:t>
    </w:r>
    <w:commentRangeEnd w:id="3"/>
    <w:r>
      <w:rPr>
        <w:rStyle w:val="CommentReference"/>
        <w:sz w:val="24"/>
        <w:szCs w:val="24"/>
      </w:rPr>
      <w:commentReference w:id="3"/>
    </w:r>
    <w:r>
      <w:t xml:space="preserve"> — Confidential</w:t>
    </w:r>
  </w:p>
</w:hdr>
</file>

<file path=word/people.xml><?xml version="1.0" encoding="utf-8"?>
<w15:people xmlns:w15="http://schemas.microsoft.com/office/word/2012/wordml" xmlns:mc="http://schemas.openxmlformats.org/markup-compatibility/2006" mc:Ignorable="w15">
  <w15:person w15:author="Legal">
    <w15:presenceInfo w15:providerId="None" w15:userId="Legal"/>
  </w15:person>
  <w15:person w15:author="Operations">
    <w15:presenceInfo w15:providerId="None" w15:userId="Operations"/>
  </w15:person>
  <w15:person w15:author="Finance">
    <w15:presenceInfo w15:providerId="None" w15:userId="Finance"/>
  </w15:person>
  <w15:person w15:author="Procurement">
    <w15:presenceInfo w15:providerId="None" w15:userId="Procurement"/>
  </w15:person>
  <w15:person w15:author="Sales">
    <w15:presenceInfo w15:providerId="None" w15:userId="Sal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Annotation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microsoft.com/office/2016/09/relationships/commentsIds" Target="commentsIds.xml"/><Relationship Id="rId11" Type="http://schemas.microsoft.com/office/2018/08/relationships/commentsExtensible" Target="commentsExtensible.xml"/><Relationship Id="rId1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973</Characters>
  <Application>docx-agent</Application>
  <DocSecurity>0</DocSecurity>
  <Lines>0</Lines>
  <Paragraphs>23</Paragraphs>
  <ScaleCrop>false</ScaleCrop>
  <Company/>
  <LinksUpToDate>false</LinksUpToDate>
  <CharactersWithSpaces>1130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Managed hosting agreement - summary of terms</dc:title>
  <dc:subject/>
  <dc:creator>Brightwater Contracts</dc:creator>
  <cp:keywords/>
  <dc:description/>
  <cp:lastModifiedBy>Brightwater Contracts</cp:lastModifiedBy>
  <cp:revision>1</cp:revision>
  <dcterms:created xsi:type="dcterms:W3CDTF">2026-09-28T09:00:00Z</dcterms:created>
  <dcterms:modified xsi:type="dcterms:W3CDTF">2026-09-28T09:00:00Z</dcterms:modified>
</cp:coreProperties>
</file>