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>
      <w:pPr>
        <w:pStyle w:val="Title"/>
      </w:pPr>
      <w:r>
        <w:t>Information Security Policy</w:t>
      </w:r>
    </w:p>
    <w:p w14:paraId="37491D3A" w14:textId="5112EC55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00000001" w:history="1">
        <w:r>
          <w:rPr>
            <w:rStyle w:val="Hyperlink"/>
            <w:noProof/>
          </w:rPr>
          <w:t>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A22D80" w14:textId="02B1CA9A">
      <w:pPr>
        <w:pStyle w:val="TOC1"/>
        <w:tabs>
          <w:tab w:val="right" w:leader="dot" w:pos="9062"/>
        </w:tabs>
        <w:rPr>
          <w:noProof/>
        </w:rPr>
      </w:pPr>
      <w:hyperlink w:anchor="_Toc100000002" w:history="1">
        <w:r>
          <w:rPr>
            <w:rStyle w:val="Hyperlink"/>
            <w:noProof/>
          </w:rPr>
          <w:t>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29A541A" w14:textId="2506C6D6">
      <w:pPr>
        <w:pStyle w:val="TOC1"/>
        <w:tabs>
          <w:tab w:val="right" w:leader="dot" w:pos="9062"/>
        </w:tabs>
        <w:rPr>
          <w:noProof/>
        </w:rPr>
      </w:pPr>
      <w:hyperlink w:anchor="_Toc100000003" w:history="1">
        <w:r>
          <w:rPr>
            <w:rStyle w:val="Hyperlink"/>
            <w:noProof/>
          </w:rPr>
          <w:t>3 Access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CCF74F" w14:textId="72ED2304">
      <w:pPr>
        <w:pStyle w:val="TOC1"/>
        <w:tabs>
          <w:tab w:val="right" w:leader="dot" w:pos="9062"/>
        </w:tabs>
        <w:rPr>
          <w:noProof/>
        </w:rPr>
      </w:pPr>
      <w:hyperlink w:anchor="_Toc100000004" w:history="1">
        <w:r>
          <w:rPr>
            <w:rStyle w:val="Hyperlink"/>
            <w:noProof/>
          </w:rPr>
          <w:t>4 Acceptable 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FB62DC" w14:textId="1F9B9BB3">
      <w:pPr>
        <w:pStyle w:val="TOC1"/>
        <w:tabs>
          <w:tab w:val="right" w:leader="dot" w:pos="9062"/>
        </w:tabs>
        <w:rPr>
          <w:noProof/>
        </w:rPr>
      </w:pPr>
      <w:hyperlink w:anchor="_Toc100000005" w:history="1">
        <w:r>
          <w:rPr>
            <w:rStyle w:val="Hyperlink"/>
            <w:noProof/>
          </w:rPr>
          <w:t>5 Incident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23CF1D" w14:textId="2340BDB2">
      <w:pPr>
        <w:pStyle w:val="TOC1"/>
        <w:tabs>
          <w:tab w:val="right" w:leader="dot" w:pos="9062"/>
        </w:tabs>
        <w:rPr>
          <w:noProof/>
        </w:rPr>
      </w:pPr>
      <w:hyperlink w:anchor="_Toc100000006" w:history="1">
        <w:r>
          <w:rPr>
            <w:rStyle w:val="Hyperlink"/>
            <w:noProof/>
          </w:rPr>
          <w:t>6 Data retention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61C2CE" w14:textId="0209870C">
      <w:pPr>
        <w:pStyle w:val="TOC2"/>
        <w:tabs>
          <w:tab w:val="right" w:leader="dot" w:pos="9062"/>
        </w:tabs>
        <w:rPr>
          <w:noProof/>
        </w:rPr>
      </w:pPr>
      <w:hyperlink w:anchor="_Toc100000007" w:history="1">
        <w:r>
          <w:rPr>
            <w:rStyle w:val="Hyperlink"/>
            <w:noProof/>
          </w:rPr>
          <w:t>6.1 Retention periods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1B495C" w14:textId="5E8B6FB5">
      <w:pPr>
        <w:pStyle w:val="TOC2"/>
        <w:tabs>
          <w:tab w:val="right" w:leader="dot" w:pos="9062"/>
        </w:tabs>
        <w:rPr>
          <w:noProof/>
        </w:rPr>
      </w:pPr>
      <w:hyperlink w:anchor="_Toc100000008" w:history="1">
        <w:r>
          <w:rPr>
            <w:rStyle w:val="Hyperlink"/>
            <w:noProof/>
          </w:rPr>
          <w:t>6.2 Disposal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466755" w14:textId="5141AFC6">
      <w:pPr>
        <w:pStyle w:val="TOC1"/>
        <w:tabs>
          <w:tab w:val="right" w:leader="dot" w:pos="9062"/>
        </w:tabs>
        <w:rPr>
          <w:noProof/>
        </w:rPr>
      </w:pPr>
      <w:hyperlink w:anchor="_Toc100000009" w:history="1">
        <w:r>
          <w:rPr>
            <w:rStyle w:val="Hyperlink"/>
            <w:noProof/>
          </w:rPr>
          <w:t>7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8828D0" w14:textId="658F5B73">
      <w:r>
        <w:fldChar w:fldCharType="end"/>
      </w:r>
    </w:p>
    <w:p w14:paraId="4C32E1FB" w14:textId="58C17D47">
      <w:pPr>
        <w:pStyle w:val="Heading1"/>
      </w:pPr>
      <w:bookmarkStart w:id="2" w:name="_Toc100000001"/>
      <w:r>
        <w:t>1 Purpose</w:t>
      </w:r>
      <w:bookmarkEnd w:id="2"/>
    </w:p>
    <w:p w14:paraId="16425160" w14:textId="0D5C0E97">
      <w:r>
        <w:t>This policy sets out how Linden &amp; Hale Ltd protects the information it holds about customers, staff and suppliers.</w:t>
      </w:r>
    </w:p>
    <w:p w14:paraId="3B212964" w14:textId="619A6E8C">
      <w:pPr>
        <w:pStyle w:val="Heading1"/>
      </w:pPr>
      <w:bookmarkStart w:id="3" w:name="_Toc100000002"/>
      <w:r>
        <w:t>2 Scope</w:t>
      </w:r>
      <w:bookmarkEnd w:id="3"/>
    </w:p>
    <w:p w14:paraId="12972045" w14:textId="676FEA6E">
      <w:r>
        <w:t>It applies to all employees, contractors and temporary staff, and to every system that stores or processes company information.</w:t>
      </w:r>
    </w:p>
    <w:p w14:paraId="4B50F4CD" w14:textId="675EF9F9">
      <w:pPr>
        <w:pStyle w:val="Heading1"/>
      </w:pPr>
      <w:bookmarkStart w:id="4" w:name="_Toc100000003"/>
      <w:r>
        <w:t>3 Access control</w:t>
      </w:r>
      <w:bookmarkEnd w:id="4"/>
    </w:p>
    <w:p w14:paraId="77B9C794" w14:textId="6E80C291">
      <w:r>
        <w:t>Access to systems is granted on the principle of least privilege:</w:t>
      </w:r>
    </w:p>
    <w:p w14:paraId="69E36C9F" w14:textId="0DAC5866">
      <w:pPr>
        <w:pStyle w:val="ListNumber"/>
        <w:numPr>
          <w:ilvl w:val="0"/>
          <w:numId w:val="2"/>
        </w:numPr>
      </w:pPr>
      <w:r>
        <w:t>Managers request access through the service desk.</w:t>
      </w:r>
    </w:p>
    <w:p w14:paraId="058B17C9" w14:textId="78688CBC">
      <w:pPr>
        <w:pStyle w:val="ListNumber"/>
        <w:numPr>
          <w:ilvl w:val="0"/>
          <w:numId w:val="2"/>
        </w:numPr>
      </w:pPr>
      <w:r>
        <w:t>The system owner approves or rejects the request.</w:t>
      </w:r>
    </w:p>
    <w:p w14:paraId="6A70E1A8" w14:textId="48C5246E">
      <w:pPr>
        <w:pStyle w:val="ListNumber"/>
        <w:numPr>
          <w:ilvl w:val="0"/>
          <w:numId w:val="2"/>
        </w:numPr>
      </w:pPr>
      <w:r>
        <w:t>Access is reviewed every six months.</w:t>
      </w:r>
    </w:p>
    <w:p w14:paraId="73D22116" w14:textId="676B078B">
      <w:r>
        <w:t xml:space="preserve">Exceptions to these rules are handled as described in section </w:t>
      </w:r>
      <w:r>
        <w:fldChar w:fldCharType="begin"/>
      </w:r>
      <w:r>
        <w:instrText xml:space="preserve"> REF RefIncident \h </w:instrText>
      </w:r>
      <w:r>
        <w:fldChar w:fldCharType="separate"/>
      </w:r>
      <w:r>
        <w:t>5 Incident response</w:t>
      </w:r>
      <w:r>
        <w:fldChar w:fldCharType="end"/>
      </w:r>
      <w:r>
        <w:t xml:space="preserve"> (page </w:t>
      </w:r>
      <w:r>
        <w:fldChar w:fldCharType="begin"/>
      </w:r>
      <w:r>
        <w:instrText xml:space="preserve"> PAGEREF RefIncident \h </w:instrText>
      </w:r>
      <w:r>
        <w:fldChar w:fldCharType="separate"/>
      </w:r>
      <w:r>
        <w:t>2</w:t>
      </w:r>
      <w:r>
        <w:fldChar w:fldCharType="end"/>
      </w:r>
      <w:r>
        <w:t xml:space="preserve">).</w:t>
      </w:r>
    </w:p>
    <w:p w14:paraId="7C9523C2" w14:textId="4D332FBE">
      <w:pPr>
        <w:pStyle w:val="Heading1"/>
      </w:pPr>
      <w:bookmarkStart w:id="5" w:name="_Toc100000004"/>
      <w:r>
        <w:t>4 Acceptable use</w:t>
      </w:r>
      <w:bookmarkEnd w:id="5"/>
    </w:p>
    <w:p w14:paraId="599FE6A2" w14:textId="1234B65C">
      <w:r>
        <w:t>Company devices and accounts are for business use. Limited personal use is allowed if it does not interfere with work.</w:t>
      </w:r>
    </w:p>
    <w:p w14:paraId="20FFCF19" w14:textId="36070FA6">
      <w:pPr>
        <w:pStyle w:val="ListBullet"/>
        <w:numPr>
          <w:ilvl w:val="0"/>
          <w:numId w:val="4"/>
        </w:numPr>
      </w:pPr>
      <w:r>
        <w:t>Do not install unapproved software.</w:t>
      </w:r>
    </w:p>
    <w:p w14:paraId="3EB3FF6C" w14:textId="07C803C5">
      <w:pPr>
        <w:pStyle w:val="ListBullet"/>
        <w:numPr>
          <w:ilvl w:val="0"/>
          <w:numId w:val="4"/>
        </w:numPr>
      </w:pPr>
      <w:r>
        <w:t>Lock your screen when you leave your desk.</w:t>
      </w:r>
    </w:p>
    <w:p w14:paraId="767E7C15" w14:textId="60298A4C">
      <w:pPr>
        <w:pStyle w:val="ListBullet"/>
        <w:numPr>
          <w:ilvl w:val="0"/>
          <w:numId w:val="4"/>
        </w:numPr>
      </w:pPr>
      <w:r>
        <w:t>Report lost devices immediately.</w:t>
      </w:r>
    </w:p>
    <w:p w14:paraId="2F9E5978" w14:textId="27E7AE38">
      <w:pPr>
        <w:pStyle w:val="Heading1"/>
      </w:pPr>
      <w:bookmarkStart w:id="6" w:name="_Toc100000005"/>
      <w:bookmarkStart w:id="0" w:name="RefIncident"/>
      <w:r>
        <w:t>5 Incident response</w:t>
      </w:r>
      <w:bookmarkEnd w:id="0"/>
      <w:bookmarkEnd w:id="6"/>
    </w:p>
    <w:p w14:paraId="654112D5" w14:textId="60369964">
      <w:r>
        <w:t>Anyone who suspects a security incident must report it at once. The security team then follows these steps:</w:t>
      </w:r>
    </w:p>
    <w:p w14:paraId="31B189E1" w14:textId="1F26B5EE">
      <w:pPr>
        <w:pStyle w:val="ListNumber"/>
        <w:numPr>
          <w:ilvl w:val="0"/>
          <w:numId w:val="2"/>
        </w:numPr>
      </w:pPr>
      <w:r>
        <w:t>Contain the incident.</w:t>
      </w:r>
    </w:p>
    <w:p w14:paraId="4329EC82" w14:textId="60958C75">
      <w:pPr>
        <w:pStyle w:val="ListNumber"/>
        <w:numPr>
          <w:ilvl w:val="0"/>
          <w:numId w:val="2"/>
        </w:numPr>
      </w:pPr>
      <w:r>
        <w:t>Assess the impact and notify the data protection officer.</w:t>
      </w:r>
    </w:p>
    <w:p w14:paraId="439BA4A8" w14:textId="4858D3EC">
      <w:pPr>
        <w:pStyle w:val="ListNumber"/>
        <w:numPr>
          <w:ilvl w:val="0"/>
          <w:numId w:val="2"/>
        </w:numPr>
      </w:pPr>
      <w:r>
        <w:t>Recover affected systems and record lessons learned.</w:t>
      </w:r>
    </w:p>
    <w:p w14:paraId="70439822" w14:textId="758E9D76">
      <w:pPr>
        <w:pStyle w:val="Heading1"/>
      </w:pPr>
      <w:bookmarkStart w:id="7" w:name="_Toc100000006"/>
      <w:bookmarkStart w:id="1" w:name="RefRetention"/>
      <w:r>
        <w:t>6 Data retention</w:t>
      </w:r>
      <w:bookmarkEnd w:id="1"/>
      <w:bookmarkEnd w:id="7"/>
    </w:p>
    <w:p w14:paraId="11698B22" w14:textId="26260A64">
      <w:r>
        <w:t>Information is kept only as long as there is a business or legal need for it.</w:t>
      </w:r>
    </w:p>
    <w:p w14:paraId="05252BEE" w14:textId="45B82272">
      <w:pPr>
        <w:pStyle w:val="Heading2"/>
      </w:pPr>
      <w:bookmarkStart w:id="8" w:name="_Toc100000007"/>
      <w:r>
        <w:t>6.1 Retention periods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14:paraId="60D6847F" w14:textId="35A2E06F">
        <w:trPr>
          <w:tblHeader/>
        </w:trPr>
        <w:tc>
          <w:tcPr>
            <w:tcW w:w="4536" w:type="dxa"/>
          </w:tcPr>
          <w:p w14:paraId="3052721F" w14:textId="572523AB">
            <w:r>
              <w:t>Record type</w:t>
            </w:r>
          </w:p>
        </w:tc>
        <w:tc>
          <w:tcPr>
            <w:tcW w:w="4536" w:type="dxa"/>
          </w:tcPr>
          <w:p w14:paraId="43450195" w14:textId="7C67CAA0">
            <w:r>
              <w:t>Retention period</w:t>
            </w:r>
          </w:p>
        </w:tc>
      </w:tr>
      <w:tr w14:paraId="78998472" w14:textId="22EF0126">
        <w:tc>
          <w:tcPr>
            <w:tcW w:w="4536" w:type="dxa"/>
          </w:tcPr>
          <w:p w14:paraId="78481EA1" w14:textId="0266EA72">
            <w:r>
              <w:t>Customer contracts</w:t>
            </w:r>
          </w:p>
        </w:tc>
        <w:tc>
          <w:tcPr>
            <w:tcW w:w="4536" w:type="dxa"/>
          </w:tcPr>
          <w:p w14:paraId="20C1ECE5" w14:textId="564183E6">
            <w:r>
              <w:t>7 years after expiry</w:t>
            </w:r>
          </w:p>
        </w:tc>
      </w:tr>
      <w:tr w14:paraId="458D9849" w14:textId="4D051FD7">
        <w:tc>
          <w:tcPr>
            <w:tcW w:w="4536" w:type="dxa"/>
          </w:tcPr>
          <w:p w14:paraId="41D60541" w14:textId="350AF9C3">
            <w:r>
              <w:t>Payroll records</w:t>
            </w:r>
          </w:p>
        </w:tc>
        <w:tc>
          <w:tcPr>
            <w:tcW w:w="4536" w:type="dxa"/>
          </w:tcPr>
          <w:p w14:paraId="6FCDB881" w14:textId="0E520C6F">
            <w:r>
              <w:t>6 years</w:t>
            </w:r>
          </w:p>
        </w:tc>
      </w:tr>
      <w:tr w14:paraId="288021DA" w14:textId="76847275">
        <w:tc>
          <w:tcPr>
            <w:tcW w:w="4536" w:type="dxa"/>
          </w:tcPr>
          <w:p w14:paraId="55291651" w14:textId="403E9315">
            <w:r>
              <w:t>CCTV footage</w:t>
            </w:r>
          </w:p>
        </w:tc>
        <w:tc>
          <w:tcPr>
            <w:tcW w:w="4536" w:type="dxa"/>
          </w:tcPr>
          <w:p w14:paraId="30AEBD05" w14:textId="15A61193">
            <w:r>
              <w:t>30 days</w:t>
            </w:r>
          </w:p>
        </w:tc>
      </w:tr>
    </w:tbl>
    <w:p w14:paraId="05F235FF" w14:textId="658FFCC3">
      <w:pPr>
        <w:pStyle w:val="Heading2"/>
      </w:pPr>
      <w:bookmarkStart w:id="9" w:name="_Toc100000008"/>
      <w:r>
        <w:t>6.2 Disposal</w:t>
      </w:r>
      <w:bookmarkEnd w:id="9"/>
    </w:p>
    <w:p w14:paraId="3B981BD3" w14:textId="55B20AB5">
      <w:r>
        <w:t>Paper records are shredded on site. Electronic media are wiped to a recognised standard or physically destroyed.</w:t>
      </w:r>
    </w:p>
    <w:p w14:paraId="7246E0D2" w14:textId="42B75B13">
      <w:pPr>
        <w:pStyle w:val="Heading1"/>
      </w:pPr>
      <w:bookmarkStart w:id="10" w:name="_Toc100000009"/>
      <w:r>
        <w:t>7 Review</w:t>
      </w:r>
      <w:bookmarkEnd w:id="10"/>
    </w:p>
    <w:p w14:paraId="76D8DF86" w14:textId="3977A0BE">
      <w:r>
        <w:t xml:space="preserve">This policy is reviewed every year by the IT Governance board. The rules on how long records are kept are in section </w:t>
      </w:r>
      <w:r>
        <w:fldChar w:fldCharType="begin"/>
      </w:r>
      <w:r>
        <w:instrText xml:space="preserve"> REF RefRetention \h </w:instrText>
      </w:r>
      <w:r>
        <w:fldChar w:fldCharType="separate"/>
      </w:r>
      <w:r>
        <w:t>6 Data retention</w:t>
      </w:r>
      <w:r>
        <w:fldChar w:fldCharType="end"/>
      </w:r>
      <w:r>
        <w:t xml:space="preserve"> (page </w:t>
      </w:r>
      <w:r>
        <w:fldChar w:fldCharType="begin"/>
      </w:r>
      <w:r>
        <w:instrText xml:space="preserve"> PAGEREF RefRetention \h </w:instrText>
      </w:r>
      <w:r>
        <w:fldChar w:fldCharType="separate"/>
      </w:r>
      <w:r>
        <w:t>2</w:t>
      </w:r>
      <w:r>
        <w:fldChar w:fldCharType="end"/>
      </w:r>
      <w:r>
        <w:t xml:space="preserve">).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="http://schemas.openxmlformats.org/wordprocessingml/2006/main">
  <w:abstractNum w:abstractNumId="0">
    <w:nsid w:val="27FAFE4D"/>
    <w:multiLevelType w:val="singleLevel"/>
    <w:tmpl w:val="77AFC7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44820598"/>
    <w:multiLevelType w:val="hybridMultilevel"/>
    <w:tmpl w:val="73D1B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2C003D"/>
    <w:multiLevelType w:val="singleLevel"/>
    <w:tmpl w:val="9BD980F1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AF5A2393"/>
    <w:multiLevelType w:val="hybridMultilevel"/>
    <w:tmpl w:val="905DF595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1476</Characters>
  <Application>docx-agent</Application>
  <DocSecurity>0</DocSecurity>
  <Lines>53</Lines>
  <Paragraphs>45</Paragraphs>
  <ScaleCrop>false</ScaleCrop>
  <Company/>
  <LinksUpToDate>false</LinksUpToDate>
  <CharactersWithSpaces>1726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Policy</dc:title>
  <dc:subject/>
  <dc:creator>IT Governance</dc:creator>
  <cp:keywords/>
  <dc:description/>
  <cp:lastModifiedBy>IT Governance</cp:lastModifiedBy>
  <cp:revision>1</cp:revision>
  <dcterms:created xsi:type="dcterms:W3CDTF">2026-09-28T09:00:00Z</dcterms:created>
  <dcterms:modified xsi:type="dcterms:W3CDTF">2026-09-28T09:00:00Z</dcterms:modified>
</cp:coreProperties>
</file>