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240" w:after="0"/>
        <w:rPr/>
      </w:pPr>
      <w:bookmarkStart w:id="0" w:name="_Toc93171615"/>
      <w:r>
        <w:rPr/>
        <w:t>Глава 7. Деревья решений</w:t>
      </w:r>
      <w:bookmarkEnd w:id="0"/>
    </w:p>
    <w:p>
      <w:pPr>
        <w:pStyle w:val="Heading2"/>
        <w:rPr/>
      </w:pPr>
      <w:bookmarkStart w:id="1" w:name="_Toc93171616"/>
      <w:r>
        <w:rPr/>
        <w:t xml:space="preserve">7.1 Алгоритм </w:t>
      </w:r>
      <w:r>
        <w:rPr>
          <w:lang w:val="en-US"/>
        </w:rPr>
        <w:t>C</w:t>
      </w:r>
      <w:r>
        <w:rPr/>
        <w:t>4.5</w:t>
      </w:r>
      <w:bookmarkEnd w:id="1"/>
    </w:p>
    <w:p>
      <w:pPr>
        <w:pStyle w:val="Normal"/>
        <w:rPr/>
      </w:pPr>
      <w:r>
        <w:rPr/>
        <w:t>На рисунке 27 изображена задача «ирисы Фишера», предполагающая классификацию на 3 класса, линейными классификаторами ее решить невозможно, нелинейные будут избыточны из-за малого количества признаков. Но с этой задачей справятся деревья решений (</w:t>
      </w:r>
      <w:r>
        <w:rPr>
          <w:lang w:val="en-US"/>
        </w:rPr>
        <w:t>decision</w:t>
      </w:r>
      <w:r>
        <w:rPr/>
        <w:t xml:space="preserve"> </w:t>
      </w:r>
      <w:r>
        <w:rPr>
          <w:lang w:val="en-US"/>
        </w:rPr>
        <w:t>trees</w:t>
      </w:r>
      <w:r>
        <w:rPr/>
        <w:t>), которые последовательно применяют решающие правила (предикаты).</w:t>
      </w:r>
    </w:p>
    <w:p>
      <w:pPr>
        <w:pStyle w:val="Normal"/>
        <w:rPr/>
      </w:pPr>
      <w:r>
        <w:rPr/>
        <w:drawing>
          <wp:inline distT="0" distB="0" distL="0" distR="0">
            <wp:extent cx="5940425" cy="277939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Рисунок 27. Задача «ирисы Фишера»</w:t>
      </w:r>
    </w:p>
    <w:p>
      <w:pPr>
        <w:pStyle w:val="Normal"/>
        <w:rPr/>
      </w:pPr>
      <w:r>
        <w:rPr/>
        <w:t>Дерево решений – способ представления правил в иерархической, последовательной структуре, где каждому объекту соответствует единственный узел, дающий решение. В результате формируется покрывающий набор конъюнкций.</w:t>
      </w:r>
    </w:p>
    <w:p>
      <w:pPr>
        <w:pStyle w:val="Normal"/>
        <w:rPr/>
      </w:pPr>
      <w:r>
        <w:rPr/>
        <w:t>Каждый узел дерева содержит признак, ребра – значения признака, листы – метки классов, пример такого дерева показан на рисунке 27 справа. Классы должны быть дискретными. Каждый пример должен однозначно относиться к одному из классов. Справа показаны решающие поверхности, порожденные деревом решений.</w:t>
      </w:r>
    </w:p>
    <w:p>
      <w:pPr>
        <w:pStyle w:val="Normal"/>
        <w:rPr/>
      </w:pPr>
      <w:r>
        <w:rPr/>
        <w:t>C4.5 [45] – алгоритм построения дерева решений, количество потомков у узла не ограничено. Решает только задачи классификации. В нем есть важное требование: количество классов должно быть значительно меньше количества записей в исследуемом наборе данных.</w:t>
      </w:r>
    </w:p>
    <w:p>
      <w:pPr>
        <w:pStyle w:val="Normal"/>
        <w:rPr/>
      </w:pPr>
      <w:r>
        <w:rPr/>
        <w:t xml:space="preserve">Пусть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– множество примеров, где каждый элемент описывается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атрибутами,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 xml:space="preserve"> - метка класса</w:t>
      </w:r>
    </w:p>
    <w:p>
      <w:pPr>
        <w:pStyle w:val="Normal"/>
        <w:rPr/>
      </w:pPr>
      <w:r>
        <w:rPr/>
        <w:t>Процесс построения дерева будет происходить итеративно сверху вниз.</w:t>
      </w:r>
    </w:p>
    <w:p>
      <w:pPr>
        <w:pStyle w:val="Normal"/>
        <w:rPr/>
      </w:pPr>
      <w:r>
        <w:rPr/>
        <w:t xml:space="preserve">На первом шаге мы имеем пустое дерево (имеется только корень) и исходное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(ассоциированное с корнем). Требуется разбить исходное множество на подмножества. Делается через выбор одного из атрибутов в качестве проверки.</w:t>
      </w:r>
    </w:p>
    <w:p>
      <w:pPr>
        <w:pStyle w:val="Normal"/>
        <w:rPr/>
      </w:pPr>
      <w:r>
        <w:rPr/>
        <w:t xml:space="preserve">Тогда в результате разбиения получаются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(по числу значений атрибута) подмножеств и, соответственно, создаются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потомков корня, каждому из которых поставлено в соответствие свое подмножество, полученное при разбиении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>.</w:t>
      </w:r>
    </w:p>
    <w:p>
      <w:pPr>
        <w:pStyle w:val="Normal"/>
        <w:rPr/>
      </w:pPr>
      <w:r>
        <w:rPr/>
        <w:t xml:space="preserve">В процессе построения любого дерева решений необходимо выбрать критерий разбиения (в случае </w:t>
      </w:r>
      <w:r>
        <w:rPr>
          <w:lang w:val="en-US"/>
        </w:rPr>
        <w:t>C</w:t>
      </w:r>
      <w:r>
        <w:rPr/>
        <w:t>4.5 это прирост информации), правило остановки (при небольшой выборке дерево строят до ее исчерпания, при большой – применяют отсечение).</w:t>
      </w:r>
    </w:p>
    <w:p>
      <w:pPr>
        <w:pStyle w:val="Normal"/>
        <w:rPr/>
      </w:pPr>
      <w:r>
        <w:rPr>
          <w:b/>
          <w:bCs/>
        </w:rPr>
        <w:t>Отсечение ветвей</w:t>
      </w:r>
      <w:r>
        <w:rPr/>
        <w:t xml:space="preserve"> (</w:t>
      </w:r>
      <w:r>
        <w:rPr>
          <w:lang w:val="en-US"/>
        </w:rPr>
        <w:t>pruning</w:t>
      </w:r>
      <w:r>
        <w:rPr/>
        <w:t>) - эвристический метод. Идем от листов к корню, помечая по некоторому критерию, например качество классификации, узлы на удаление. Вместо узлов ставится лист с меткой класса с наибольшим количеством исходов в этом поддереве.</w:t>
      </w:r>
    </w:p>
    <w:p>
      <w:pPr>
        <w:pStyle w:val="Normal"/>
        <w:rPr>
          <w:b/>
          <w:bCs/>
        </w:rPr>
      </w:pPr>
      <w:r>
        <w:rPr>
          <w:b/>
          <w:bCs/>
        </w:rPr>
        <w:t>Критерий разбиения</w:t>
      </w:r>
    </w:p>
    <w:p>
      <w:pPr>
        <w:pStyle w:val="Normal"/>
        <w:rPr/>
      </w:pPr>
      <w:r>
        <w:rPr/>
        <w:t xml:space="preserve">Пусть мы имеем проверку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(в качестве проверки может быть выбран любой атрибут), которая принимает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. Тогда разбиение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по проверке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даст нам подмножества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,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равном соответственно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freq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– количество примеров из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, относящихся к классу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>.</w:t>
      </w:r>
    </w:p>
    <w:p>
      <w:pPr>
        <w:pStyle w:val="Normal"/>
        <w:jc w:val="center"/>
        <w:rPr>
          <w:iCs/>
          <w:lang w:val="en-US"/>
        </w:rPr>
      </w:pPr>
      <w:r>
        <w:rPr/>
        <w:t xml:space="preserve">Оценка среднего количества информации, необходимого для определения класса примера из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(энтропия):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Info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freq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freq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den>
              </m:f>
            </m:e>
          </m:d>
        </m:oMath>
      </m:oMathPara>
    </w:p>
    <w:p>
      <w:pPr>
        <w:pStyle w:val="Normal"/>
        <w:rPr/>
      </w:pPr>
      <w:r>
        <w:rPr/>
        <w:t xml:space="preserve">Оценка среднего количества информации, необходимого для определения класса примера из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после разбиения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по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(условная энтропия):</w:t>
      </w:r>
    </w:p>
    <w:p>
      <w:pPr>
        <w:pStyle w:val="Normal"/>
        <w:jc w:val="center"/>
        <w:rPr>
          <w:iCs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d>
                      <m:dPr>
                        <m:begChr m:val="|"/>
                        <m:endChr m:val="|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Info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</m:e>
            </m:d>
          </m:e>
        </m:nary>
      </m:oMath>
      <w:r>
        <w:rPr/>
        <w:t>z</w:t>
      </w:r>
    </w:p>
    <w:p>
      <w:pPr>
        <w:pStyle w:val="Normal"/>
        <w:rPr/>
      </w:pPr>
      <w:r>
        <w:rPr/>
        <w:t xml:space="preserve">Оценка потенциальной информации, получаемой при разбиении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подмножеств. Необходим для учета атрибутов с уникальными значениями.</w:t>
      </w:r>
    </w:p>
    <w:p>
      <w:pPr>
        <w:pStyle w:val="Normal"/>
        <w:jc w:val="center"/>
        <w:rPr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spli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info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d>
                <m:dPr>
                  <m:begChr m:val="("/>
                  <m:endChr m:val=")"/>
                </m:dPr>
                <m:e>
                  <m:f>
                    <m:num>
                      <m:d>
                        <m:dPr>
                          <m:begChr m:val="|"/>
                          <m:endChr m:val="|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d>
                            <m:dPr>
                              <m:begChr m:val="|"/>
                              <m:endChr m:val="|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nary>
        </m:oMath>
      </m:oMathPara>
    </w:p>
    <w:p>
      <w:pPr>
        <w:pStyle w:val="Normal"/>
        <w:rPr>
          <w:iCs/>
        </w:rPr>
      </w:pPr>
      <w:r>
        <w:rPr>
          <w:iCs/>
        </w:rPr>
        <w:t>Нормированный прирост информации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Gain</m:t>
              </m:r>
            </m:e>
            <m:sub>
              <m:r>
                <w:rPr>
                  <w:rFonts w:ascii="Cambria Math" w:hAnsi="Cambria Math"/>
                </w:rPr>
                <m:t xml:space="preserve">ratio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Info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Info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spli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info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b>
              </m:sSub>
            </m:den>
          </m:f>
        </m:oMath>
      </m:oMathPara>
    </w:p>
    <w:p>
      <w:pPr>
        <w:pStyle w:val="Normal"/>
        <w:rPr/>
      </w:pPr>
      <w:r>
        <w:rPr/>
        <w:t xml:space="preserve">Критерий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Gain</m:t>
            </m:r>
          </m:e>
          <m:sub>
            <m:r>
              <w:rPr>
                <w:rFonts w:ascii="Cambria Math" w:hAnsi="Cambria Math"/>
              </w:rPr>
              <m:t xml:space="preserve">ratio</m:t>
            </m:r>
          </m:sub>
        </m:sSub>
      </m:oMath>
      <w:r>
        <w:rPr/>
        <w:t xml:space="preserve"> считается для всех атрибутов. Выбирается атрибут с максимальным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Gain</m:t>
            </m:r>
          </m:e>
          <m:sub>
            <m:r>
              <w:rPr>
                <w:rFonts w:ascii="Cambria Math" w:hAnsi="Cambria Math"/>
              </w:rPr>
              <m:t xml:space="preserve">ratio</m:t>
            </m:r>
          </m:sub>
        </m:sSub>
      </m:oMath>
      <w:r>
        <w:rPr/>
        <w:t>. Этот атрибут будет являться проверкой в текущем узле дерева, а затем по этому атрибуту производится дальнейшее построение дерева.</w:t>
      </w:r>
    </w:p>
    <w:p>
      <w:pPr>
        <w:pStyle w:val="Normal"/>
        <w:rPr/>
      </w:pPr>
      <w:r>
        <w:rPr/>
        <w:t xml:space="preserve">Такие же рассуждения можно применить к полученным подмножествам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и продолжить рекурсивно процесс построения дерева, до тех пор, пока в узле не окажутся примеры из одного класса.</w:t>
      </w:r>
    </w:p>
    <w:p>
      <w:pPr>
        <w:pStyle w:val="Normal"/>
        <w:rPr/>
      </w:pPr>
      <w:r>
        <w:rPr/>
        <w:t>Для примера возьмем таблицу 4 из [45].</w:t>
      </w:r>
    </w:p>
    <w:p>
      <w:pPr>
        <w:pStyle w:val="Normal"/>
        <w:rPr/>
      </w:pPr>
      <w:r>
        <w:rPr/>
        <w:t>Таблица 4. Пример данных для построения дерева решений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7"/>
        <w:gridCol w:w="1556"/>
        <w:gridCol w:w="1559"/>
        <w:gridCol w:w="1558"/>
        <w:gridCol w:w="1558"/>
      </w:tblGrid>
      <w:tr>
        <w:trPr/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6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Признаки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Класс</w:t>
            </w:r>
          </w:p>
        </w:tc>
      </w:tr>
      <w:tr>
        <w:trPr/>
        <w:tc>
          <w:tcPr>
            <w:tcW w:w="1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Outlook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Temperature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Humidity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Windy</w:t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Sunny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Hot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Sunny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Hot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Overcast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Hot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Rain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Mild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Rain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Cool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Rain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Cool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Overcast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Cool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Sunny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Mild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Sunny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Cool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Rain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Mild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Sunny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Mild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Overcast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Mild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13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Overcast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Hot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14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Rain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Mild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Посчитаем критерий разбиения для всех признаков, чтобы определить какой признак будет помещен в корень дерева. В начале у нас полный набор данных, поэтому энтропия:</w:t>
      </w:r>
    </w:p>
    <w:p>
      <w:pPr>
        <w:pStyle w:val="Normal"/>
        <w:jc w:val="center"/>
        <w:rPr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Info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14</m:t>
                  </m:r>
                </m:den>
              </m:f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14</m:t>
                  </m:r>
                </m:den>
              </m:f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</m:e>
              </m:d>
            </m:e>
          </m:d>
        </m:oMath>
      </m:oMathPara>
    </w:p>
    <w:p>
      <w:pPr>
        <w:pStyle w:val="Normal"/>
        <w:rPr>
          <w:iCs/>
        </w:rPr>
      </w:pPr>
      <w:r>
        <w:rPr>
          <w:iCs/>
        </w:rPr>
        <w:t xml:space="preserve">Для признака </w:t>
      </w:r>
      <w:r>
        <w:rPr>
          <w:iCs/>
          <w:lang w:val="en-US"/>
        </w:rPr>
        <w:t>Outlook</w:t>
      </w:r>
      <w:r>
        <w:rPr>
          <w:iCs/>
        </w:rPr>
        <w:t xml:space="preserve"> имеем 3 значения, каждое из которых дает свое подмножество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Cs/>
        </w:rPr>
        <w:t>:</w:t>
      </w:r>
    </w:p>
    <w:p>
      <w:pPr>
        <w:pStyle w:val="Normal"/>
        <w:jc w:val="center"/>
        <w:rPr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Info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14</m:t>
                  </m:r>
                </m:den>
              </m:f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14</m:t>
                  </m:r>
                </m:den>
              </m:f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14</m:t>
                  </m:r>
                </m:den>
              </m:f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>
      <w:pPr>
        <w:pStyle w:val="Normal"/>
        <w:rPr/>
      </w:pPr>
      <w:r>
        <w:rPr>
          <w:iCs/>
        </w:rPr>
        <w:t xml:space="preserve">Точно также считается для оставшихся признаков. Затем выбираем признак с максимальным нормированным приростов информации и помещаем его в корень. Следующим шагом заполняем узлы по значениям признака в корне, но в этот раз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будет состоять не из 14 строк, а из такого количества строк, где признак в корне принял то или иное значение.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FreeSerif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FreeSerif"/>
      <w:color w:themeColor="accent1" w:themeShade="bf"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ascii="Calibri Light" w:hAnsi="Calibri Light" w:eastAsia="Calibri" w:cs="FreeSerif"/>
      <w:color w:themeColor="accent1" w:themeShade="bf" w:val="2F5496"/>
      <w:sz w:val="32"/>
      <w:szCs w:val="32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FreeSerif"/>
      <w:color w:themeColor="accent1" w:themeShade="bf" w:val="2F5496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Application>LibreOffice/24.8.2.1$Linux_X86_64 LibreOffice_project/480$Build-1</Application>
  <AppVersion>15.0000</AppVersion>
  <Pages>4</Pages>
  <Words>627</Words>
  <Characters>3822</Characters>
  <CharactersWithSpaces>4359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2022-09-01T05:33:00Z</dcterms:created>
  <dc:creator>Sander</dc:creator>
  <dc:description/>
  <dc:language>en-US</dc:language>
  <cp:lastModifiedBy/>
  <dcterms:modified xsi:type="dcterms:W3CDTF">2024-10-25T17:16:42Z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