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7737" w14:textId="77777777" w:rsidR="00283618" w:rsidRDefault="00283618">
      <w:pPr>
        <w:spacing w:before="700"/>
      </w:pPr>
    </w:p>
    <w:p w14:paraId="29C75478" w14:textId="77777777" w:rsidR="00283618" w:rsidRDefault="00000000">
      <w:pPr>
        <w:jc w:val="center"/>
      </w:pPr>
      <w:r>
        <w:rPr>
          <w:b/>
          <w:bCs/>
          <w:color w:val="0B2545"/>
          <w:sz w:val="38"/>
          <w:szCs w:val="38"/>
        </w:rPr>
        <w:t>FROM MESSY SPREADSHEETS</w:t>
      </w:r>
    </w:p>
    <w:p w14:paraId="5F00511D" w14:textId="77777777" w:rsidR="00283618" w:rsidRDefault="00000000">
      <w:pPr>
        <w:spacing w:before="60"/>
        <w:jc w:val="center"/>
      </w:pPr>
      <w:r>
        <w:rPr>
          <w:b/>
          <w:bCs/>
          <w:color w:val="1B998B"/>
          <w:sz w:val="38"/>
          <w:szCs w:val="38"/>
        </w:rPr>
        <w:t>TO BOARDROOM INSIGHTS</w:t>
      </w:r>
    </w:p>
    <w:p w14:paraId="2A34B75A" w14:textId="77777777" w:rsidR="00283618" w:rsidRDefault="00000000">
      <w:pPr>
        <w:spacing w:before="200" w:after="500"/>
        <w:jc w:val="center"/>
      </w:pPr>
      <w:r>
        <w:rPr>
          <w:i/>
          <w:iCs/>
          <w:color w:val="6B7688"/>
          <w:sz w:val="24"/>
          <w:szCs w:val="24"/>
        </w:rPr>
        <w:t>A Data Story of the Retail Sales Analytics Pipeline</w:t>
      </w:r>
    </w:p>
    <w:p w14:paraId="436ACE2A" w14:textId="77777777" w:rsidR="00283618" w:rsidRDefault="00000000">
      <w:pPr>
        <w:spacing w:before="900"/>
        <w:jc w:val="center"/>
      </w:pPr>
      <w:r>
        <w:rPr>
          <w:color w:val="182233"/>
        </w:rPr>
        <w:t>Told through Excel, SQL &amp; Power BI</w:t>
      </w:r>
    </w:p>
    <w:p w14:paraId="7373EC42" w14:textId="77777777" w:rsidR="00283618" w:rsidRDefault="00000000">
      <w:r>
        <w:br w:type="page"/>
      </w:r>
    </w:p>
    <w:p w14:paraId="413B995C" w14:textId="77777777" w:rsidR="00283618" w:rsidRDefault="00000000">
      <w:pPr>
        <w:spacing w:before="420" w:after="40"/>
      </w:pPr>
      <w:r>
        <w:rPr>
          <w:b/>
          <w:bCs/>
          <w:color w:val="1B998B"/>
          <w:spacing w:val="20"/>
          <w:sz w:val="18"/>
          <w:szCs w:val="18"/>
        </w:rPr>
        <w:lastRenderedPageBreak/>
        <w:t>PROLOGUE</w:t>
      </w:r>
    </w:p>
    <w:p w14:paraId="26774227" w14:textId="77777777" w:rsidR="00283618" w:rsidRDefault="00000000">
      <w:pPr>
        <w:pStyle w:val="Heading1"/>
        <w:spacing w:before="420" w:after="200"/>
      </w:pPr>
      <w:r>
        <w:rPr>
          <w:b/>
          <w:bCs/>
          <w:color w:val="0B2545"/>
          <w:sz w:val="30"/>
          <w:szCs w:val="30"/>
        </w:rPr>
        <w:t>Every Number Tells a Story — If You Can Trust It</w:t>
      </w:r>
    </w:p>
    <w:p w14:paraId="4831A2F1" w14:textId="07E6B62A" w:rsidR="00283618" w:rsidRDefault="00000000">
      <w:pPr>
        <w:spacing w:after="170" w:line="320" w:lineRule="auto"/>
      </w:pPr>
      <w:r>
        <w:rPr>
          <w:color w:val="182233"/>
          <w:sz w:val="22"/>
          <w:szCs w:val="22"/>
        </w:rPr>
        <w:t xml:space="preserve">Somewhere between the regional store floor and the executive dashboard, sales data goes through a journey most people never see. It starts messy duplicated, incomplete, inconsistently typed and if nobody intervenes, that mess quietly becomes "the numbers." </w:t>
      </w:r>
    </w:p>
    <w:p w14:paraId="3344CA0C" w14:textId="3E0A1494" w:rsidR="00283618" w:rsidRDefault="00000000">
      <w:pPr>
        <w:pBdr>
          <w:left w:val="single" w:sz="24" w:space="12" w:color="1B998B"/>
        </w:pBdr>
        <w:spacing w:before="200" w:after="200"/>
        <w:ind w:left="400" w:right="400"/>
      </w:pPr>
      <w:r>
        <w:rPr>
          <w:i/>
          <w:iCs/>
          <w:color w:val="0B2545"/>
          <w:sz w:val="24"/>
          <w:szCs w:val="24"/>
        </w:rPr>
        <w:t>This is the story of one such dataset: 1,246 raw sales records, riddled with errors and the journey to turn them into something a business could actually trust.</w:t>
      </w:r>
    </w:p>
    <w:p w14:paraId="5C1B3F1A" w14:textId="08227930" w:rsidR="00283618" w:rsidRPr="006C1C4C" w:rsidRDefault="006C1C4C">
      <w:pPr>
        <w:spacing w:before="420" w:after="40"/>
        <w:rPr>
          <w:b/>
          <w:bCs/>
          <w:color w:val="1B998B"/>
          <w:spacing w:val="20"/>
          <w:sz w:val="18"/>
          <w:szCs w:val="18"/>
        </w:rPr>
      </w:pPr>
      <w:r>
        <w:rPr>
          <w:color w:val="171717" w:themeColor="background2" w:themeShade="1A"/>
          <w:spacing w:val="20"/>
          <w:sz w:val="18"/>
          <w:szCs w:val="18"/>
        </w:rPr>
        <w:t>What follows isn't just a technical walkthrough. It's the narrative a data analyst would tell a stakeholder: what we started with, what we found, how we fixed it, and what the cleaned data revealed once the analysis could be performed consistently.</w:t>
      </w:r>
      <w:r>
        <w:rPr>
          <w:b/>
          <w:bCs/>
          <w:color w:val="171717" w:themeColor="background2" w:themeShade="1A"/>
          <w:spacing w:val="20"/>
          <w:sz w:val="18"/>
          <w:szCs w:val="18"/>
        </w:rPr>
        <w:br/>
      </w:r>
      <w:r>
        <w:rPr>
          <w:b/>
          <w:bCs/>
          <w:color w:val="1B998B"/>
          <w:spacing w:val="20"/>
          <w:sz w:val="18"/>
          <w:szCs w:val="18"/>
        </w:rPr>
        <w:br/>
        <w:t>CHAPTER 1</w:t>
      </w:r>
    </w:p>
    <w:p w14:paraId="1C50BEC2" w14:textId="77777777" w:rsidR="00283618" w:rsidRDefault="00000000">
      <w:pPr>
        <w:pStyle w:val="Heading1"/>
        <w:spacing w:before="420" w:after="200"/>
      </w:pPr>
      <w:r>
        <w:rPr>
          <w:b/>
          <w:bCs/>
          <w:color w:val="0B2545"/>
          <w:sz w:val="30"/>
          <w:szCs w:val="30"/>
        </w:rPr>
        <w:t>The Problem We Inherited</w:t>
      </w:r>
    </w:p>
    <w:p w14:paraId="46D0C953" w14:textId="77777777" w:rsidR="006C1C4C" w:rsidRPr="006C1C4C" w:rsidRDefault="006C1C4C" w:rsidP="006C1C4C">
      <w:pPr>
        <w:spacing w:after="170" w:line="320" w:lineRule="auto"/>
      </w:pPr>
      <w:r>
        <w:t>The raw file looked ordinary at first glance — order IDs, dates, customer names, sales figures, and product information. But a closer look revealed a dataset working against itself:</w:t>
      </w:r>
    </w:p>
    <w:p w14:paraId="52C85F8D" w14:textId="77777777" w:rsidR="006C1C4C" w:rsidRPr="006C1C4C" w:rsidRDefault="006C1C4C" w:rsidP="006C1C4C">
      <w:pPr>
        <w:numPr>
          <w:ilvl w:val="0"/>
          <w:numId w:val="2"/>
        </w:numPr>
        <w:spacing w:after="170" w:line="320" w:lineRule="auto"/>
      </w:pPr>
      <w:r>
        <w:t>45 extra duplicate rows were identified through duplicate Order IDs, creating a risk of inflated order-level reporting.</w:t>
      </w:r>
    </w:p>
    <w:p w14:paraId="6C067B5D" w14:textId="77777777" w:rsidR="006C1C4C" w:rsidRPr="006C1C4C" w:rsidRDefault="006C1C4C" w:rsidP="006C1C4C">
      <w:pPr>
        <w:numPr>
          <w:ilvl w:val="0"/>
          <w:numId w:val="2"/>
        </w:numPr>
        <w:spacing w:after="170" w:line="320" w:lineRule="auto"/>
      </w:pPr>
      <w:r>
        <w:t>Missing values were present in important fields including Customer Name, Region, City, Ship Mode, Discount, Sales, and Profit.</w:t>
      </w:r>
    </w:p>
    <w:p w14:paraId="4FB78224" w14:textId="77777777" w:rsidR="006C1C4C" w:rsidRPr="006C1C4C" w:rsidRDefault="006C1C4C" w:rsidP="006C1C4C">
      <w:pPr>
        <w:numPr>
          <w:ilvl w:val="0"/>
          <w:numId w:val="2"/>
        </w:numPr>
        <w:spacing w:after="170" w:line="320" w:lineRule="auto"/>
      </w:pPr>
      <w:r>
        <w:t>The same customer could appear with different casing and unnecessary spaces, such as "ALI KHAN", "ali khan", and " Ali Khan ".</w:t>
      </w:r>
    </w:p>
    <w:p w14:paraId="4E087386" w14:textId="77777777" w:rsidR="006C1C4C" w:rsidRPr="006C1C4C" w:rsidRDefault="006C1C4C" w:rsidP="006C1C4C">
      <w:pPr>
        <w:numPr>
          <w:ilvl w:val="0"/>
          <w:numId w:val="2"/>
        </w:numPr>
        <w:spacing w:after="170" w:line="320" w:lineRule="auto"/>
      </w:pPr>
      <w:r>
        <w:t>Region values contained inconsistent formatting and variations that needed standardization.</w:t>
      </w:r>
    </w:p>
    <w:p w14:paraId="3544AA5B" w14:textId="77777777" w:rsidR="006C1C4C" w:rsidRPr="006C1C4C" w:rsidRDefault="006C1C4C" w:rsidP="006C1C4C">
      <w:pPr>
        <w:numPr>
          <w:ilvl w:val="0"/>
          <w:numId w:val="2"/>
        </w:numPr>
        <w:spacing w:after="170" w:line="320" w:lineRule="auto"/>
      </w:pPr>
      <w:r>
        <w:t>Discount values were sometimes entered as whole numbers such as 10.0 and 15.0 instead of decimal values such as 0.10 and 0.15.</w:t>
      </w:r>
    </w:p>
    <w:p w14:paraId="26483442" w14:textId="77777777" w:rsidR="006C1C4C" w:rsidRPr="006C1C4C" w:rsidRDefault="006C1C4C" w:rsidP="006C1C4C">
      <w:pPr>
        <w:numPr>
          <w:ilvl w:val="0"/>
          <w:numId w:val="2"/>
        </w:numPr>
        <w:spacing w:after="170" w:line="320" w:lineRule="auto"/>
      </w:pPr>
      <w:r>
        <w:t>Sales values included missing entries that had to be reconstructed from the available transaction fields.</w:t>
      </w:r>
    </w:p>
    <w:p w14:paraId="3B09A197" w14:textId="77777777" w:rsidR="006C1C4C" w:rsidRPr="006C1C4C" w:rsidRDefault="006C1C4C" w:rsidP="006C1C4C">
      <w:pPr>
        <w:numPr>
          <w:ilvl w:val="0"/>
          <w:numId w:val="2"/>
        </w:numPr>
        <w:spacing w:after="170" w:line="320" w:lineRule="auto"/>
      </w:pPr>
      <w:r>
        <w:t>Order dates appeared in more than one format, including YYYY-MM-DD and DD/MM/YYYY.</w:t>
      </w:r>
    </w:p>
    <w:p w14:paraId="7B8900FB" w14:textId="77777777" w:rsidR="006C1C4C" w:rsidRPr="006C1C4C" w:rsidRDefault="006C1C4C" w:rsidP="006C1C4C">
      <w:pPr>
        <w:numPr>
          <w:ilvl w:val="0"/>
          <w:numId w:val="2"/>
        </w:numPr>
        <w:spacing w:after="170" w:line="320" w:lineRule="auto"/>
      </w:pPr>
      <w:r>
        <w:t>A fully blank record was also identified and removed during the cleaning process.</w:t>
      </w:r>
    </w:p>
    <w:p w14:paraId="51F7A94C" w14:textId="77777777" w:rsidR="006C1C4C" w:rsidRPr="006C1C4C" w:rsidRDefault="006C1C4C" w:rsidP="006C1C4C">
      <w:pPr>
        <w:spacing w:after="170" w:line="320" w:lineRule="auto"/>
      </w:pPr>
      <w:r>
        <w:t>None of these issues was necessarily dramatic on its own. Together, however, they could make a report unreliable — especially when management is using revenue, profit, order volume, and regional performance to make decisions.</w:t>
      </w:r>
    </w:p>
    <w:p w14:paraId="3540D7B7" w14:textId="2EFD77FD" w:rsidR="00283618" w:rsidRPr="006C1C4C" w:rsidRDefault="00283618">
      <w:pPr>
        <w:spacing w:after="170" w:line="320" w:lineRule="auto"/>
      </w:pPr>
    </w:p>
    <w:p w14:paraId="13A04659" w14:textId="77777777" w:rsidR="00283618" w:rsidRDefault="00000000">
      <w:pPr>
        <w:spacing w:before="420" w:after="40"/>
      </w:pPr>
      <w:r>
        <w:rPr>
          <w:b/>
          <w:bCs/>
          <w:color w:val="1B998B"/>
          <w:spacing w:val="20"/>
          <w:sz w:val="18"/>
          <w:szCs w:val="18"/>
        </w:rPr>
        <w:t>CHAPTER 2</w:t>
      </w:r>
    </w:p>
    <w:p w14:paraId="06B78706" w14:textId="77777777" w:rsidR="00283618" w:rsidRDefault="00000000">
      <w:pPr>
        <w:pStyle w:val="Heading1"/>
        <w:spacing w:before="420" w:after="200"/>
      </w:pPr>
      <w:r>
        <w:rPr>
          <w:b/>
          <w:bCs/>
          <w:color w:val="0B2545"/>
          <w:sz w:val="30"/>
          <w:szCs w:val="30"/>
        </w:rPr>
        <w:lastRenderedPageBreak/>
        <w:t>Cleaning the Chaos</w:t>
      </w:r>
    </w:p>
    <w:p w14:paraId="49C3979E" w14:textId="77777777" w:rsidR="00283618" w:rsidRDefault="00000000">
      <w:pPr>
        <w:spacing w:after="170" w:line="320" w:lineRule="auto"/>
      </w:pPr>
      <w:r>
        <w:rPr>
          <w:color w:val="182233"/>
          <w:sz w:val="22"/>
          <w:szCs w:val="22"/>
        </w:rPr>
        <w:t>The response was deliberately staged in three phases, each with a distinct job — because trying to fix everything in one tool tends to hide mistakes rather than catch them.</w:t>
      </w:r>
    </w:p>
    <w:p w14:paraId="6F9C6934" w14:textId="77777777" w:rsidR="00283618" w:rsidRDefault="00000000">
      <w:pPr>
        <w:spacing w:after="170" w:line="320" w:lineRule="auto"/>
      </w:pPr>
      <w:r>
        <w:rPr>
          <w:b/>
          <w:bCs/>
          <w:color w:val="182233"/>
          <w:sz w:val="22"/>
          <w:szCs w:val="22"/>
        </w:rPr>
        <w:t>In Excel,</w:t>
      </w:r>
    </w:p>
    <w:p w14:paraId="1F324BD2" w14:textId="77777777" w:rsidR="00BB66A1" w:rsidRPr="00BB66A1" w:rsidRDefault="00BB66A1" w:rsidP="00BB66A1">
      <w:pPr>
        <w:spacing w:after="170" w:line="320" w:lineRule="auto"/>
        <w:rPr>
          <w:color w:val="182233"/>
          <w:sz w:val="22"/>
          <w:szCs w:val="22"/>
        </w:rPr>
      </w:pPr>
      <w:r>
        <w:rPr>
          <w:color w:val="182233"/>
          <w:sz w:val="22"/>
          <w:szCs w:val="22"/>
        </w:rPr>
        <w:t>the raw file got its first structured review. Conditional formatting was used to flag duplicate Order IDs and blank cells. Formula-based checks such as TRIM(), PROPER(), and IFERROR() helped identify and review formatting and data-quality problems. A category-level sanity check was also performed.</w:t>
      </w:r>
    </w:p>
    <w:p w14:paraId="4743363D" w14:textId="77777777" w:rsidR="00BB66A1" w:rsidRDefault="00BB66A1">
      <w:pPr>
        <w:spacing w:after="170" w:line="320" w:lineRule="auto"/>
        <w:rPr>
          <w:color w:val="182233"/>
          <w:sz w:val="22"/>
          <w:szCs w:val="22"/>
        </w:rPr>
      </w:pPr>
      <w:r>
        <w:rPr>
          <w:color w:val="182233"/>
          <w:sz w:val="22"/>
          <w:szCs w:val="22"/>
        </w:rPr>
        <w:t>This stage was not intended to become the complete cleaning solution. Its purpose was to make the problems visible and establish what needed deeper treatment.</w:t>
      </w:r>
    </w:p>
    <w:p w14:paraId="783C2FAC" w14:textId="02746B40" w:rsidR="00283618" w:rsidRPr="00BB66A1" w:rsidRDefault="00BB66A1">
      <w:pPr>
        <w:spacing w:after="170" w:line="320" w:lineRule="auto"/>
        <w:rPr>
          <w:color w:val="182233"/>
          <w:sz w:val="22"/>
          <w:szCs w:val="22"/>
        </w:rPr>
      </w:pPr>
      <w:r>
        <w:rPr>
          <w:color w:val="182233"/>
          <w:sz w:val="22"/>
          <w:szCs w:val="22"/>
        </w:rPr>
        <w:br/>
      </w:r>
      <w:r>
        <w:rPr>
          <w:b/>
          <w:bCs/>
          <w:color w:val="182233"/>
          <w:sz w:val="22"/>
          <w:szCs w:val="22"/>
        </w:rPr>
        <w:t>In SQL,</w:t>
      </w:r>
    </w:p>
    <w:p w14:paraId="09C1546F" w14:textId="77777777" w:rsidR="00BB66A1" w:rsidRPr="00BB66A1" w:rsidRDefault="00BB66A1" w:rsidP="00BB66A1">
      <w:pPr>
        <w:spacing w:after="170" w:line="320" w:lineRule="auto"/>
        <w:rPr>
          <w:color w:val="182233"/>
          <w:sz w:val="22"/>
          <w:szCs w:val="22"/>
        </w:rPr>
      </w:pPr>
      <w:r>
        <w:rPr>
          <w:color w:val="182233"/>
          <w:sz w:val="22"/>
          <w:szCs w:val="22"/>
        </w:rPr>
        <w:t>the main cleaning work happened. A backup of the raw table was created before changes were made, while the original raw_sales table was kept untouched.</w:t>
      </w:r>
    </w:p>
    <w:p w14:paraId="58D0EEA1" w14:textId="77777777" w:rsidR="00BB66A1" w:rsidRPr="00BB66A1" w:rsidRDefault="00BB66A1" w:rsidP="00BB66A1">
      <w:pPr>
        <w:spacing w:after="170" w:line="320" w:lineRule="auto"/>
        <w:rPr>
          <w:color w:val="182233"/>
          <w:sz w:val="22"/>
          <w:szCs w:val="22"/>
        </w:rPr>
      </w:pPr>
      <w:r>
        <w:rPr>
          <w:color w:val="182233"/>
          <w:sz w:val="22"/>
          <w:szCs w:val="22"/>
        </w:rPr>
        <w:t>A separate Clean_sales table was used as the working cleaning layer. Missing values were recovered from matching records where reliable evidence existed; otherwise, appropriate placeholders or documented handling were used. Customer names and text fields were standardized, discount values were corrected, missing Sales values were calculated from the available transaction fields, dates were normalized, invalid quantity values were checked, and duplicate records were removed.</w:t>
      </w:r>
    </w:p>
    <w:p w14:paraId="625F7B31" w14:textId="77777777" w:rsidR="00BB66A1" w:rsidRPr="00BB66A1" w:rsidRDefault="00BB66A1" w:rsidP="00BB66A1">
      <w:pPr>
        <w:spacing w:after="170" w:line="320" w:lineRule="auto"/>
        <w:rPr>
          <w:color w:val="182233"/>
          <w:sz w:val="22"/>
          <w:szCs w:val="22"/>
        </w:rPr>
      </w:pPr>
      <w:r>
        <w:rPr>
          <w:color w:val="182233"/>
          <w:sz w:val="22"/>
          <w:szCs w:val="22"/>
        </w:rPr>
        <w:t xml:space="preserve">The final cleaned dataset contained </w:t>
      </w:r>
      <w:r>
        <w:rPr>
          <w:b/>
          <w:bCs/>
          <w:color w:val="182233"/>
          <w:sz w:val="22"/>
          <w:szCs w:val="22"/>
        </w:rPr>
        <w:t>1,201 rows</w:t>
      </w:r>
      <w:r>
        <w:rPr>
          <w:color w:val="182233"/>
          <w:sz w:val="22"/>
          <w:szCs w:val="22"/>
        </w:rPr>
        <w:t xml:space="preserve">. Profit was the one field for which </w:t>
      </w:r>
      <w:r>
        <w:rPr>
          <w:b/>
          <w:bCs/>
          <w:color w:val="182233"/>
          <w:sz w:val="22"/>
          <w:szCs w:val="22"/>
        </w:rPr>
        <w:t>17 values remained NULL</w:t>
      </w:r>
      <w:r>
        <w:rPr>
          <w:color w:val="182233"/>
          <w:sz w:val="22"/>
          <w:szCs w:val="22"/>
        </w:rPr>
        <w:t>, because those values could not be reliably reconstructed from the available information without inventing a profit figure.</w:t>
      </w:r>
    </w:p>
    <w:p w14:paraId="5AE51366" w14:textId="77777777" w:rsidR="00BB66A1" w:rsidRPr="00BB66A1" w:rsidRDefault="00BB66A1" w:rsidP="00BB66A1">
      <w:pPr>
        <w:spacing w:after="170" w:line="320" w:lineRule="auto"/>
        <w:rPr>
          <w:color w:val="182233"/>
          <w:sz w:val="22"/>
          <w:szCs w:val="22"/>
        </w:rPr>
      </w:pPr>
      <w:r>
        <w:rPr>
          <w:color w:val="182233"/>
          <w:sz w:val="22"/>
          <w:szCs w:val="22"/>
        </w:rPr>
        <w:br/>
      </w:r>
      <w:r>
        <w:rPr>
          <w:b/>
          <w:bCs/>
          <w:color w:val="182233"/>
          <w:sz w:val="22"/>
          <w:szCs w:val="22"/>
        </w:rPr>
        <w:t>In Power BI,</w:t>
      </w:r>
      <w:r>
        <w:rPr>
          <w:b/>
          <w:bCs/>
          <w:color w:val="182233"/>
          <w:sz w:val="22"/>
          <w:szCs w:val="22"/>
        </w:rPr>
        <w:br/>
      </w:r>
      <w:r>
        <w:rPr>
          <w:color w:val="182233"/>
          <w:sz w:val="22"/>
          <w:szCs w:val="22"/>
        </w:rPr>
        <w:t>the cleaned analysis view became the foundation for the dashboard. The project was organized into three pages:</w:t>
      </w:r>
    </w:p>
    <w:p w14:paraId="21261B94" w14:textId="77777777" w:rsidR="00BB66A1" w:rsidRPr="00BB66A1" w:rsidRDefault="00BB66A1" w:rsidP="00BB66A1">
      <w:pPr>
        <w:numPr>
          <w:ilvl w:val="0"/>
          <w:numId w:val="3"/>
        </w:numPr>
        <w:spacing w:after="170" w:line="320" w:lineRule="auto"/>
        <w:rPr>
          <w:color w:val="182233"/>
          <w:sz w:val="22"/>
          <w:szCs w:val="22"/>
        </w:rPr>
      </w:pPr>
      <w:r>
        <w:rPr>
          <w:color w:val="182233"/>
          <w:sz w:val="22"/>
          <w:szCs w:val="22"/>
        </w:rPr>
        <w:t>Overview — executive KPIs and overall sales trends</w:t>
      </w:r>
    </w:p>
    <w:p w14:paraId="4DFCC958" w14:textId="77777777" w:rsidR="00BB66A1" w:rsidRPr="00BB66A1" w:rsidRDefault="00BB66A1" w:rsidP="00BB66A1">
      <w:pPr>
        <w:numPr>
          <w:ilvl w:val="0"/>
          <w:numId w:val="3"/>
        </w:numPr>
        <w:spacing w:after="170" w:line="320" w:lineRule="auto"/>
        <w:rPr>
          <w:color w:val="182233"/>
          <w:sz w:val="22"/>
          <w:szCs w:val="22"/>
        </w:rPr>
      </w:pPr>
      <w:r>
        <w:rPr>
          <w:color w:val="182233"/>
          <w:sz w:val="22"/>
          <w:szCs w:val="22"/>
        </w:rPr>
        <w:t>Products — product and category performance</w:t>
      </w:r>
    </w:p>
    <w:p w14:paraId="75C500DE" w14:textId="77777777" w:rsidR="00BB66A1" w:rsidRPr="00BB66A1" w:rsidRDefault="00BB66A1" w:rsidP="00BB66A1">
      <w:pPr>
        <w:numPr>
          <w:ilvl w:val="0"/>
          <w:numId w:val="3"/>
        </w:numPr>
        <w:spacing w:after="170" w:line="320" w:lineRule="auto"/>
        <w:rPr>
          <w:color w:val="182233"/>
          <w:sz w:val="22"/>
          <w:szCs w:val="22"/>
        </w:rPr>
      </w:pPr>
      <w:r>
        <w:rPr>
          <w:color w:val="182233"/>
          <w:sz w:val="22"/>
          <w:szCs w:val="22"/>
        </w:rPr>
        <w:t>Regional — regional revenue, profit, and margin comparison</w:t>
      </w:r>
    </w:p>
    <w:p w14:paraId="1F5BB4DC" w14:textId="5EDFAA34" w:rsidR="00283618" w:rsidRPr="00BB66A1" w:rsidRDefault="00BB66A1">
      <w:pPr>
        <w:spacing w:after="170" w:line="320" w:lineRule="auto"/>
        <w:rPr>
          <w:color w:val="182233"/>
          <w:sz w:val="22"/>
          <w:szCs w:val="22"/>
        </w:rPr>
      </w:pPr>
      <w:r>
        <w:rPr>
          <w:i/>
          <w:iCs/>
          <w:color w:val="182233"/>
          <w:sz w:val="22"/>
          <w:szCs w:val="22"/>
        </w:rPr>
        <w:t>Excel found the cracks, SQL handled the authoritative cleaning, and Power BI turned the trusted data into a business story.</w:t>
      </w:r>
      <w:r>
        <w:rPr>
          <w:b/>
          <w:bCs/>
          <w:color w:val="182233"/>
          <w:sz w:val="22"/>
          <w:szCs w:val="22"/>
        </w:rPr>
        <w:br/>
      </w:r>
    </w:p>
    <w:p w14:paraId="6152A9B7" w14:textId="0BE0A003" w:rsidR="00283618" w:rsidRDefault="00000000">
      <w:pPr>
        <w:pBdr>
          <w:left w:val="single" w:sz="24" w:space="12" w:color="1B998B"/>
        </w:pBdr>
        <w:spacing w:before="200" w:after="200"/>
        <w:ind w:left="400" w:right="400"/>
      </w:pPr>
      <w:r>
        <w:rPr>
          <w:i/>
          <w:iCs/>
          <w:color w:val="0B2545"/>
          <w:sz w:val="24"/>
          <w:szCs w:val="24"/>
        </w:rPr>
        <w:lastRenderedPageBreak/>
        <w:t>The chain matters as much as the cleaning itself: Excel found the problems, SQL solved them once and permanently, and Power BI told the story to the people who needed to hear it.</w:t>
      </w:r>
    </w:p>
    <w:p w14:paraId="3B45C492" w14:textId="77777777" w:rsidR="00283618" w:rsidRDefault="00000000">
      <w:pPr>
        <w:spacing w:before="420" w:after="40"/>
      </w:pPr>
      <w:r>
        <w:rPr>
          <w:b/>
          <w:bCs/>
          <w:color w:val="1B998B"/>
          <w:spacing w:val="20"/>
          <w:sz w:val="18"/>
          <w:szCs w:val="18"/>
        </w:rPr>
        <w:t>CHAPTER 3</w:t>
      </w:r>
    </w:p>
    <w:p w14:paraId="7E92EEE0" w14:textId="77777777" w:rsidR="00283618" w:rsidRDefault="00000000">
      <w:pPr>
        <w:pStyle w:val="Heading1"/>
        <w:spacing w:before="420" w:after="200"/>
      </w:pPr>
      <w:r>
        <w:rPr>
          <w:b/>
          <w:bCs/>
          <w:color w:val="0B2545"/>
          <w:sz w:val="30"/>
          <w:szCs w:val="30"/>
        </w:rPr>
        <w:t>What the Numbers Revealed</w:t>
      </w:r>
    </w:p>
    <w:p w14:paraId="506D38AF" w14:textId="40F036E0" w:rsidR="00283618" w:rsidRPr="00771891" w:rsidRDefault="00771891">
      <w:pPr>
        <w:spacing w:after="170" w:line="320" w:lineRule="auto"/>
        <w:rPr>
          <w:color w:val="182233"/>
          <w:sz w:val="22"/>
          <w:szCs w:val="22"/>
        </w:rPr>
      </w:pPr>
      <w:r>
        <w:rPr>
          <w:color w:val="182233"/>
          <w:sz w:val="22"/>
          <w:szCs w:val="22"/>
        </w:rPr>
        <w:t>With the data cleaned and standardized, the dashboard could provide a consistent view of business performance.</w:t>
      </w:r>
      <w:r>
        <w:rPr>
          <w:color w:val="182233"/>
          <w:sz w:val="22"/>
          <w:szCs w:val="22"/>
        </w:rPr>
        <w:br/>
        <w:t>The regional results were: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283618" w14:paraId="5E69DAF4" w14:textId="77777777">
        <w:trPr>
          <w:tblHeader/>
        </w:trPr>
        <w:tc>
          <w:tcPr>
            <w:tcW w:w="3117" w:type="dxa"/>
            <w:shd w:val="clear" w:color="0B2545" w:fill="0B2545"/>
            <w:tcMar>
              <w:top w:w="100" w:type="dxa"/>
              <w:left w:w="120" w:type="dxa"/>
              <w:bottom w:w="100" w:type="dxa"/>
              <w:right w:w="120" w:type="dxa"/>
            </w:tcMar>
            <w:vAlign w:val="center"/>
          </w:tcPr>
          <w:p w14:paraId="09246DBD" w14:textId="77777777" w:rsidR="00283618" w:rsidRDefault="00000000">
            <w:r>
              <w:rPr>
                <w:b/>
                <w:bCs/>
                <w:color w:val="FFFFFF"/>
                <w:sz w:val="19"/>
                <w:szCs w:val="19"/>
              </w:rPr>
              <w:t>Region</w:t>
            </w:r>
          </w:p>
        </w:tc>
        <w:tc>
          <w:tcPr>
            <w:tcW w:w="3117" w:type="dxa"/>
            <w:shd w:val="clear" w:color="0B2545" w:fill="0B2545"/>
            <w:tcMar>
              <w:top w:w="100" w:type="dxa"/>
              <w:left w:w="120" w:type="dxa"/>
              <w:bottom w:w="100" w:type="dxa"/>
              <w:right w:w="120" w:type="dxa"/>
            </w:tcMar>
            <w:vAlign w:val="center"/>
          </w:tcPr>
          <w:p w14:paraId="5592AF2B" w14:textId="77777777" w:rsidR="00283618" w:rsidRDefault="00000000">
            <w:r>
              <w:rPr>
                <w:b/>
                <w:bCs/>
                <w:color w:val="FFFFFF"/>
                <w:sz w:val="19"/>
                <w:szCs w:val="19"/>
              </w:rPr>
              <w:t>Revenue</w:t>
            </w:r>
          </w:p>
        </w:tc>
        <w:tc>
          <w:tcPr>
            <w:tcW w:w="3116" w:type="dxa"/>
            <w:shd w:val="clear" w:color="0B2545" w:fill="0B2545"/>
            <w:tcMar>
              <w:top w:w="100" w:type="dxa"/>
              <w:left w:w="120" w:type="dxa"/>
              <w:bottom w:w="100" w:type="dxa"/>
              <w:right w:w="120" w:type="dxa"/>
            </w:tcMar>
            <w:vAlign w:val="center"/>
          </w:tcPr>
          <w:p w14:paraId="7756F7B5" w14:textId="77777777" w:rsidR="00283618" w:rsidRDefault="00000000">
            <w:r>
              <w:rPr>
                <w:b/>
                <w:bCs/>
                <w:color w:val="FFFFFF"/>
                <w:sz w:val="19"/>
                <w:szCs w:val="19"/>
              </w:rPr>
              <w:t>Profit Margin</w:t>
            </w:r>
          </w:p>
        </w:tc>
      </w:tr>
      <w:tr w:rsidR="00283618" w14:paraId="2044F3EC" w14:textId="77777777">
        <w:tc>
          <w:tcPr>
            <w:tcW w:w="3117" w:type="dxa"/>
            <w:tcMar>
              <w:top w:w="100" w:type="dxa"/>
              <w:left w:w="120" w:type="dxa"/>
              <w:bottom w:w="100" w:type="dxa"/>
              <w:right w:w="120" w:type="dxa"/>
            </w:tcMar>
            <w:vAlign w:val="center"/>
          </w:tcPr>
          <w:p w14:paraId="1E01BAC1" w14:textId="77777777" w:rsidR="00283618" w:rsidRDefault="00000000">
            <w:r>
              <w:rPr>
                <w:color w:val="182233"/>
                <w:sz w:val="19"/>
                <w:szCs w:val="19"/>
              </w:rPr>
              <w:t>Central</w:t>
            </w:r>
          </w:p>
        </w:tc>
        <w:tc>
          <w:tcPr>
            <w:tcW w:w="3117" w:type="dxa"/>
            <w:tcMar>
              <w:top w:w="100" w:type="dxa"/>
              <w:left w:w="120" w:type="dxa"/>
              <w:bottom w:w="100" w:type="dxa"/>
              <w:right w:w="120" w:type="dxa"/>
            </w:tcMar>
            <w:vAlign w:val="center"/>
          </w:tcPr>
          <w:p w14:paraId="4366381C" w14:textId="2365628D" w:rsidR="00283618" w:rsidRDefault="00771891">
            <w:r>
              <w:t>$789,887</w:t>
            </w:r>
          </w:p>
        </w:tc>
        <w:tc>
          <w:tcPr>
            <w:tcW w:w="3116" w:type="dxa"/>
            <w:tcMar>
              <w:top w:w="100" w:type="dxa"/>
              <w:left w:w="120" w:type="dxa"/>
              <w:bottom w:w="100" w:type="dxa"/>
              <w:right w:w="120" w:type="dxa"/>
            </w:tcMar>
            <w:vAlign w:val="center"/>
          </w:tcPr>
          <w:p w14:paraId="43835447" w14:textId="2E1D83DE" w:rsidR="00283618" w:rsidRDefault="00283618">
            <w:r>
              <w:rPr>
                <w:color w:val="182233"/>
                <w:sz w:val="19"/>
                <w:szCs w:val="19"/>
              </w:rPr>
              <w:t>8.92%</w:t>
            </w:r>
          </w:p>
        </w:tc>
      </w:tr>
      <w:tr w:rsidR="00283618" w14:paraId="3498DD6E" w14:textId="77777777">
        <w:tc>
          <w:tcPr>
            <w:tcW w:w="3117" w:type="dxa"/>
            <w:shd w:val="clear" w:color="F3F6F9" w:fill="F3F6F9"/>
            <w:tcMar>
              <w:top w:w="100" w:type="dxa"/>
              <w:left w:w="120" w:type="dxa"/>
              <w:bottom w:w="100" w:type="dxa"/>
              <w:right w:w="120" w:type="dxa"/>
            </w:tcMar>
            <w:vAlign w:val="center"/>
          </w:tcPr>
          <w:p w14:paraId="104E6D31" w14:textId="77777777" w:rsidR="00283618" w:rsidRDefault="00000000">
            <w:r>
              <w:rPr>
                <w:color w:val="182233"/>
                <w:sz w:val="19"/>
                <w:szCs w:val="19"/>
              </w:rPr>
              <w:t>West</w:t>
            </w:r>
          </w:p>
        </w:tc>
        <w:tc>
          <w:tcPr>
            <w:tcW w:w="3117" w:type="dxa"/>
            <w:shd w:val="clear" w:color="F3F6F9" w:fill="F3F6F9"/>
            <w:tcMar>
              <w:top w:w="100" w:type="dxa"/>
              <w:left w:w="120" w:type="dxa"/>
              <w:bottom w:w="100" w:type="dxa"/>
              <w:right w:w="120" w:type="dxa"/>
            </w:tcMar>
            <w:vAlign w:val="center"/>
          </w:tcPr>
          <w:p w14:paraId="2BBFBD14" w14:textId="455112C2" w:rsidR="00283618" w:rsidRDefault="00771891">
            <w:r>
              <w:t>$755,962</w:t>
            </w:r>
          </w:p>
        </w:tc>
        <w:tc>
          <w:tcPr>
            <w:tcW w:w="3116" w:type="dxa"/>
            <w:shd w:val="clear" w:color="F3F6F9" w:fill="F3F6F9"/>
            <w:tcMar>
              <w:top w:w="100" w:type="dxa"/>
              <w:left w:w="120" w:type="dxa"/>
              <w:bottom w:w="100" w:type="dxa"/>
              <w:right w:w="120" w:type="dxa"/>
            </w:tcMar>
            <w:vAlign w:val="center"/>
          </w:tcPr>
          <w:p w14:paraId="75C57EA8" w14:textId="77777777" w:rsidR="00283618" w:rsidRDefault="00000000">
            <w:r>
              <w:rPr>
                <w:color w:val="182233"/>
                <w:sz w:val="19"/>
                <w:szCs w:val="19"/>
              </w:rPr>
              <w:t>10.37%</w:t>
            </w:r>
          </w:p>
        </w:tc>
      </w:tr>
      <w:tr w:rsidR="00283618" w14:paraId="37BB364E" w14:textId="77777777">
        <w:tc>
          <w:tcPr>
            <w:tcW w:w="3117" w:type="dxa"/>
            <w:tcMar>
              <w:top w:w="100" w:type="dxa"/>
              <w:left w:w="120" w:type="dxa"/>
              <w:bottom w:w="100" w:type="dxa"/>
              <w:right w:w="120" w:type="dxa"/>
            </w:tcMar>
            <w:vAlign w:val="center"/>
          </w:tcPr>
          <w:p w14:paraId="67739C1A" w14:textId="77777777" w:rsidR="00283618" w:rsidRDefault="00000000">
            <w:r>
              <w:rPr>
                <w:color w:val="182233"/>
                <w:sz w:val="19"/>
                <w:szCs w:val="19"/>
              </w:rPr>
              <w:t>South</w:t>
            </w:r>
          </w:p>
        </w:tc>
        <w:tc>
          <w:tcPr>
            <w:tcW w:w="3117" w:type="dxa"/>
            <w:tcMar>
              <w:top w:w="100" w:type="dxa"/>
              <w:left w:w="120" w:type="dxa"/>
              <w:bottom w:w="100" w:type="dxa"/>
              <w:right w:w="120" w:type="dxa"/>
            </w:tcMar>
            <w:vAlign w:val="center"/>
          </w:tcPr>
          <w:p w14:paraId="593874CD" w14:textId="7CD22208" w:rsidR="00283618" w:rsidRDefault="00771891">
            <w:r>
              <w:t>$688,665</w:t>
            </w:r>
          </w:p>
        </w:tc>
        <w:tc>
          <w:tcPr>
            <w:tcW w:w="3116" w:type="dxa"/>
            <w:tcMar>
              <w:top w:w="100" w:type="dxa"/>
              <w:left w:w="120" w:type="dxa"/>
              <w:bottom w:w="100" w:type="dxa"/>
              <w:right w:w="120" w:type="dxa"/>
            </w:tcMar>
            <w:vAlign w:val="center"/>
          </w:tcPr>
          <w:p w14:paraId="65E5B0C4" w14:textId="77777777" w:rsidR="00283618" w:rsidRDefault="00000000">
            <w:r>
              <w:rPr>
                <w:color w:val="182233"/>
                <w:sz w:val="19"/>
                <w:szCs w:val="19"/>
              </w:rPr>
              <w:t>9.46%</w:t>
            </w:r>
          </w:p>
        </w:tc>
      </w:tr>
      <w:tr w:rsidR="00283618" w14:paraId="31B925FE" w14:textId="77777777">
        <w:tc>
          <w:tcPr>
            <w:tcW w:w="3117" w:type="dxa"/>
            <w:shd w:val="clear" w:color="F3F6F9" w:fill="F3F6F9"/>
            <w:tcMar>
              <w:top w:w="100" w:type="dxa"/>
              <w:left w:w="120" w:type="dxa"/>
              <w:bottom w:w="100" w:type="dxa"/>
              <w:right w:w="120" w:type="dxa"/>
            </w:tcMar>
            <w:vAlign w:val="center"/>
          </w:tcPr>
          <w:p w14:paraId="241F25C7" w14:textId="77777777" w:rsidR="00283618" w:rsidRDefault="00000000">
            <w:r>
              <w:rPr>
                <w:color w:val="182233"/>
                <w:sz w:val="19"/>
                <w:szCs w:val="19"/>
              </w:rPr>
              <w:t>North</w:t>
            </w:r>
          </w:p>
        </w:tc>
        <w:tc>
          <w:tcPr>
            <w:tcW w:w="3117" w:type="dxa"/>
            <w:shd w:val="clear" w:color="F3F6F9" w:fill="F3F6F9"/>
            <w:tcMar>
              <w:top w:w="100" w:type="dxa"/>
              <w:left w:w="120" w:type="dxa"/>
              <w:bottom w:w="100" w:type="dxa"/>
              <w:right w:w="120" w:type="dxa"/>
            </w:tcMar>
            <w:vAlign w:val="center"/>
          </w:tcPr>
          <w:p w14:paraId="59F91C28" w14:textId="3848AEB5" w:rsidR="00283618" w:rsidRDefault="00771891">
            <w:r>
              <w:t>$681,715</w:t>
            </w:r>
          </w:p>
        </w:tc>
        <w:tc>
          <w:tcPr>
            <w:tcW w:w="3116" w:type="dxa"/>
            <w:shd w:val="clear" w:color="F3F6F9" w:fill="F3F6F9"/>
            <w:tcMar>
              <w:top w:w="100" w:type="dxa"/>
              <w:left w:w="120" w:type="dxa"/>
              <w:bottom w:w="100" w:type="dxa"/>
              <w:right w:w="120" w:type="dxa"/>
            </w:tcMar>
            <w:vAlign w:val="center"/>
          </w:tcPr>
          <w:p w14:paraId="44BA14B4" w14:textId="77777777" w:rsidR="00283618" w:rsidRDefault="00000000">
            <w:r>
              <w:rPr>
                <w:color w:val="182233"/>
                <w:sz w:val="19"/>
                <w:szCs w:val="19"/>
              </w:rPr>
              <w:t>10.65%</w:t>
            </w:r>
          </w:p>
        </w:tc>
      </w:tr>
      <w:tr w:rsidR="00283618" w14:paraId="576EBE8F" w14:textId="77777777">
        <w:tc>
          <w:tcPr>
            <w:tcW w:w="3117" w:type="dxa"/>
            <w:tcMar>
              <w:top w:w="100" w:type="dxa"/>
              <w:left w:w="120" w:type="dxa"/>
              <w:bottom w:w="100" w:type="dxa"/>
              <w:right w:w="120" w:type="dxa"/>
            </w:tcMar>
            <w:vAlign w:val="center"/>
          </w:tcPr>
          <w:p w14:paraId="26F34AA1" w14:textId="77777777" w:rsidR="00283618" w:rsidRDefault="00000000">
            <w:r>
              <w:rPr>
                <w:color w:val="182233"/>
                <w:sz w:val="19"/>
                <w:szCs w:val="19"/>
              </w:rPr>
              <w:t>East</w:t>
            </w:r>
          </w:p>
        </w:tc>
        <w:tc>
          <w:tcPr>
            <w:tcW w:w="3117" w:type="dxa"/>
            <w:tcMar>
              <w:top w:w="100" w:type="dxa"/>
              <w:left w:w="120" w:type="dxa"/>
              <w:bottom w:w="100" w:type="dxa"/>
              <w:right w:w="120" w:type="dxa"/>
            </w:tcMar>
            <w:vAlign w:val="center"/>
          </w:tcPr>
          <w:p w14:paraId="5E82D5A8" w14:textId="44C36001" w:rsidR="00283618" w:rsidRDefault="00771891">
            <w:r>
              <w:t>$657,360</w:t>
            </w:r>
          </w:p>
        </w:tc>
        <w:tc>
          <w:tcPr>
            <w:tcW w:w="3116" w:type="dxa"/>
            <w:tcMar>
              <w:top w:w="100" w:type="dxa"/>
              <w:left w:w="120" w:type="dxa"/>
              <w:bottom w:w="100" w:type="dxa"/>
              <w:right w:w="120" w:type="dxa"/>
            </w:tcMar>
            <w:vAlign w:val="center"/>
          </w:tcPr>
          <w:p w14:paraId="5C4B7FB2" w14:textId="77777777" w:rsidR="00283618" w:rsidRDefault="00000000">
            <w:r>
              <w:rPr>
                <w:color w:val="182233"/>
                <w:sz w:val="19"/>
                <w:szCs w:val="19"/>
              </w:rPr>
              <w:t>8.74%</w:t>
            </w:r>
          </w:p>
        </w:tc>
      </w:tr>
    </w:tbl>
    <w:p w14:paraId="3BFADCD6" w14:textId="77777777" w:rsidR="00771891" w:rsidRPr="00771891" w:rsidRDefault="00771891" w:rsidP="00771891">
      <w:pPr>
        <w:spacing w:before="420" w:after="40"/>
        <w:rPr>
          <w:color w:val="182233"/>
          <w:sz w:val="22"/>
          <w:szCs w:val="22"/>
        </w:rPr>
      </w:pPr>
      <w:r>
        <w:rPr>
          <w:color w:val="182233"/>
          <w:sz w:val="22"/>
          <w:szCs w:val="22"/>
        </w:rPr>
        <w:t>Central generated the highest revenue among the regions, while North achieved the strongest profit margin. West also produced a higher profit margin than Central despite generating less revenue.</w:t>
      </w:r>
    </w:p>
    <w:p w14:paraId="21F6D8B5" w14:textId="77777777" w:rsidR="00771891" w:rsidRPr="00771891" w:rsidRDefault="00771891" w:rsidP="00771891">
      <w:pPr>
        <w:spacing w:before="420" w:after="40"/>
        <w:rPr>
          <w:color w:val="182233"/>
          <w:sz w:val="22"/>
          <w:szCs w:val="22"/>
        </w:rPr>
      </w:pPr>
      <w:r>
        <w:rPr>
          <w:color w:val="182233"/>
          <w:sz w:val="22"/>
          <w:szCs w:val="22"/>
        </w:rPr>
        <w:t>East recorded the lowest revenue and the lowest profit amount among the five regions, making it a useful candidate for deeper investigation. The next questions would be whether the difference is related to product mix, discounting, shipping, or other operational factors.</w:t>
      </w:r>
    </w:p>
    <w:p w14:paraId="15E45EDD" w14:textId="77777777" w:rsidR="00771891" w:rsidRPr="00771891" w:rsidRDefault="00771891" w:rsidP="00771891">
      <w:pPr>
        <w:spacing w:before="420" w:after="40"/>
        <w:rPr>
          <w:color w:val="182233"/>
          <w:sz w:val="22"/>
          <w:szCs w:val="22"/>
        </w:rPr>
      </w:pPr>
      <w:r>
        <w:rPr>
          <w:color w:val="182233"/>
          <w:sz w:val="22"/>
          <w:szCs w:val="22"/>
        </w:rPr>
        <w:t>The product analysis in Power BI adds another layer by allowing stakeholders to compare products by revenue and units sold and identify the strongest-performing products.</w:t>
      </w:r>
    </w:p>
    <w:p w14:paraId="15265140" w14:textId="5A75F582" w:rsidR="00283618" w:rsidRDefault="00000000">
      <w:pPr>
        <w:spacing w:before="420" w:after="40"/>
      </w:pPr>
      <w:r>
        <w:rPr>
          <w:b/>
          <w:bCs/>
          <w:color w:val="1B998B"/>
          <w:spacing w:val="20"/>
          <w:sz w:val="18"/>
          <w:szCs w:val="18"/>
        </w:rPr>
        <w:t>CHAPTER 4</w:t>
      </w:r>
    </w:p>
    <w:p w14:paraId="15CC9AA1" w14:textId="4C3A602A" w:rsidR="00283618" w:rsidRPr="00771891" w:rsidRDefault="00000000" w:rsidP="00771891">
      <w:pPr>
        <w:pStyle w:val="Heading1"/>
        <w:spacing w:before="420" w:after="200"/>
        <w:rPr>
          <w:color w:val="000000" w:themeColor="text1"/>
          <w:sz w:val="18"/>
          <w:szCs w:val="18"/>
        </w:rPr>
      </w:pPr>
      <w:r>
        <w:rPr>
          <w:b/>
          <w:bCs/>
          <w:color w:val="0B2545"/>
          <w:sz w:val="30"/>
          <w:szCs w:val="30"/>
        </w:rPr>
        <w:t>The Twist Nobody Expected</w:t>
      </w:r>
      <w:r>
        <w:rPr>
          <w:b/>
          <w:bCs/>
          <w:color w:val="0B2545"/>
          <w:sz w:val="30"/>
          <w:szCs w:val="30"/>
        </w:rPr>
        <w:br/>
      </w:r>
      <w:r>
        <w:rPr>
          <w:color w:val="000000" w:themeColor="text1"/>
          <w:sz w:val="22"/>
          <w:szCs w:val="22"/>
        </w:rPr>
        <w:t>Every good data story has a moment where the numbers challenge the assumption everyone walked in with. Here, it was discounting.The instinct is almost universal: deeper discounts should squeeze margins. The project data showed a different pattern.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283618" w14:paraId="7E0CA419" w14:textId="77777777">
        <w:trPr>
          <w:tblHeader/>
        </w:trPr>
        <w:tc>
          <w:tcPr>
            <w:tcW w:w="3117" w:type="dxa"/>
            <w:shd w:val="clear" w:color="0B2545" w:fill="0B2545"/>
            <w:tcMar>
              <w:top w:w="100" w:type="dxa"/>
              <w:left w:w="120" w:type="dxa"/>
              <w:bottom w:w="100" w:type="dxa"/>
              <w:right w:w="120" w:type="dxa"/>
            </w:tcMar>
            <w:vAlign w:val="center"/>
          </w:tcPr>
          <w:p w14:paraId="6554D2C6" w14:textId="77777777" w:rsidR="00283618" w:rsidRDefault="00000000">
            <w:r>
              <w:rPr>
                <w:b/>
                <w:bCs/>
                <w:color w:val="FFFFFF"/>
                <w:sz w:val="19"/>
                <w:szCs w:val="19"/>
              </w:rPr>
              <w:t>Discount Band</w:t>
            </w:r>
          </w:p>
        </w:tc>
        <w:tc>
          <w:tcPr>
            <w:tcW w:w="3117" w:type="dxa"/>
            <w:shd w:val="clear" w:color="0B2545" w:fill="0B2545"/>
            <w:tcMar>
              <w:top w:w="100" w:type="dxa"/>
              <w:left w:w="120" w:type="dxa"/>
              <w:bottom w:w="100" w:type="dxa"/>
              <w:right w:w="120" w:type="dxa"/>
            </w:tcMar>
            <w:vAlign w:val="center"/>
          </w:tcPr>
          <w:p w14:paraId="0226F04B" w14:textId="77777777" w:rsidR="00283618" w:rsidRDefault="00000000">
            <w:r>
              <w:rPr>
                <w:b/>
                <w:bCs/>
                <w:color w:val="FFFFFF"/>
                <w:sz w:val="19"/>
                <w:szCs w:val="19"/>
              </w:rPr>
              <w:t>Revenue</w:t>
            </w:r>
          </w:p>
        </w:tc>
        <w:tc>
          <w:tcPr>
            <w:tcW w:w="3116" w:type="dxa"/>
            <w:shd w:val="clear" w:color="0B2545" w:fill="0B2545"/>
            <w:tcMar>
              <w:top w:w="100" w:type="dxa"/>
              <w:left w:w="120" w:type="dxa"/>
              <w:bottom w:w="100" w:type="dxa"/>
              <w:right w:w="120" w:type="dxa"/>
            </w:tcMar>
            <w:vAlign w:val="center"/>
          </w:tcPr>
          <w:p w14:paraId="2ADD121D" w14:textId="77777777" w:rsidR="00283618" w:rsidRDefault="00000000">
            <w:r>
              <w:rPr>
                <w:b/>
                <w:bCs/>
                <w:color w:val="FFFFFF"/>
                <w:sz w:val="19"/>
                <w:szCs w:val="19"/>
              </w:rPr>
              <w:t>Profit Margin</w:t>
            </w:r>
          </w:p>
        </w:tc>
      </w:tr>
      <w:tr w:rsidR="00283618" w14:paraId="63BEBDA8" w14:textId="77777777">
        <w:tc>
          <w:tcPr>
            <w:tcW w:w="3117" w:type="dxa"/>
            <w:tcMar>
              <w:top w:w="100" w:type="dxa"/>
              <w:left w:w="120" w:type="dxa"/>
              <w:bottom w:w="100" w:type="dxa"/>
              <w:right w:w="120" w:type="dxa"/>
            </w:tcMar>
            <w:vAlign w:val="center"/>
          </w:tcPr>
          <w:p w14:paraId="46004174" w14:textId="77777777" w:rsidR="00283618" w:rsidRDefault="00000000">
            <w:r>
              <w:rPr>
                <w:color w:val="182233"/>
                <w:sz w:val="19"/>
                <w:szCs w:val="19"/>
              </w:rPr>
              <w:t>No Discount</w:t>
            </w:r>
          </w:p>
        </w:tc>
        <w:tc>
          <w:tcPr>
            <w:tcW w:w="3117" w:type="dxa"/>
            <w:tcMar>
              <w:top w:w="100" w:type="dxa"/>
              <w:left w:w="120" w:type="dxa"/>
              <w:bottom w:w="100" w:type="dxa"/>
              <w:right w:w="120" w:type="dxa"/>
            </w:tcMar>
            <w:vAlign w:val="center"/>
          </w:tcPr>
          <w:p w14:paraId="12DBC80D" w14:textId="379E4F93" w:rsidR="00283618" w:rsidRDefault="00771891">
            <w:r>
              <w:rPr>
                <w:color w:val="182233"/>
                <w:sz w:val="19"/>
                <w:szCs w:val="19"/>
              </w:rPr>
              <w:t>$1,5</w:t>
            </w:r>
            <w:r w:rsidR="00486355">
              <w:rPr>
                <w:color w:val="182233"/>
                <w:sz w:val="19"/>
                <w:szCs w:val="19"/>
              </w:rPr>
              <w:t>92</w:t>
            </w:r>
            <w:r>
              <w:rPr>
                <w:color w:val="182233"/>
                <w:sz w:val="19"/>
                <w:szCs w:val="19"/>
              </w:rPr>
              <w:t>,508</w:t>
            </w:r>
          </w:p>
        </w:tc>
        <w:tc>
          <w:tcPr>
            <w:tcW w:w="3116" w:type="dxa"/>
            <w:tcMar>
              <w:top w:w="100" w:type="dxa"/>
              <w:left w:w="120" w:type="dxa"/>
              <w:bottom w:w="100" w:type="dxa"/>
              <w:right w:w="120" w:type="dxa"/>
            </w:tcMar>
            <w:vAlign w:val="center"/>
          </w:tcPr>
          <w:p w14:paraId="14964416" w14:textId="77777777" w:rsidR="00283618" w:rsidRDefault="00000000">
            <w:r>
              <w:rPr>
                <w:color w:val="182233"/>
                <w:sz w:val="19"/>
                <w:szCs w:val="19"/>
              </w:rPr>
              <w:t>9.20%</w:t>
            </w:r>
          </w:p>
        </w:tc>
      </w:tr>
      <w:tr w:rsidR="00283618" w14:paraId="39AC85DA" w14:textId="77777777">
        <w:tc>
          <w:tcPr>
            <w:tcW w:w="3117" w:type="dxa"/>
            <w:shd w:val="clear" w:color="F3F6F9" w:fill="F3F6F9"/>
            <w:tcMar>
              <w:top w:w="100" w:type="dxa"/>
              <w:left w:w="120" w:type="dxa"/>
              <w:bottom w:w="100" w:type="dxa"/>
              <w:right w:w="120" w:type="dxa"/>
            </w:tcMar>
            <w:vAlign w:val="center"/>
          </w:tcPr>
          <w:p w14:paraId="277EC2AE" w14:textId="77777777" w:rsidR="00283618" w:rsidRDefault="00000000">
            <w:r>
              <w:rPr>
                <w:color w:val="182233"/>
                <w:sz w:val="19"/>
                <w:szCs w:val="19"/>
              </w:rPr>
              <w:t>Low (1–15%)</w:t>
            </w:r>
          </w:p>
        </w:tc>
        <w:tc>
          <w:tcPr>
            <w:tcW w:w="3117" w:type="dxa"/>
            <w:shd w:val="clear" w:color="F3F6F9" w:fill="F3F6F9"/>
            <w:tcMar>
              <w:top w:w="100" w:type="dxa"/>
              <w:left w:w="120" w:type="dxa"/>
              <w:bottom w:w="100" w:type="dxa"/>
              <w:right w:w="120" w:type="dxa"/>
            </w:tcMar>
            <w:vAlign w:val="center"/>
          </w:tcPr>
          <w:p w14:paraId="44FF4F39" w14:textId="2B6B46D8" w:rsidR="00283618" w:rsidRDefault="00771891">
            <w:r>
              <w:rPr>
                <w:color w:val="182233"/>
                <w:sz w:val="19"/>
                <w:szCs w:val="19"/>
              </w:rPr>
              <w:t>$1,038,820</w:t>
            </w:r>
          </w:p>
        </w:tc>
        <w:tc>
          <w:tcPr>
            <w:tcW w:w="3116" w:type="dxa"/>
            <w:shd w:val="clear" w:color="F3F6F9" w:fill="F3F6F9"/>
            <w:tcMar>
              <w:top w:w="100" w:type="dxa"/>
              <w:left w:w="120" w:type="dxa"/>
              <w:bottom w:w="100" w:type="dxa"/>
              <w:right w:w="120" w:type="dxa"/>
            </w:tcMar>
            <w:vAlign w:val="center"/>
          </w:tcPr>
          <w:p w14:paraId="118F1886" w14:textId="77777777" w:rsidR="00283618" w:rsidRDefault="00000000">
            <w:r>
              <w:rPr>
                <w:color w:val="182233"/>
                <w:sz w:val="19"/>
                <w:szCs w:val="19"/>
              </w:rPr>
              <w:t>9.70%</w:t>
            </w:r>
          </w:p>
        </w:tc>
      </w:tr>
      <w:tr w:rsidR="00283618" w14:paraId="6E78F765" w14:textId="77777777">
        <w:tc>
          <w:tcPr>
            <w:tcW w:w="3117" w:type="dxa"/>
            <w:tcMar>
              <w:top w:w="100" w:type="dxa"/>
              <w:left w:w="120" w:type="dxa"/>
              <w:bottom w:w="100" w:type="dxa"/>
              <w:right w:w="120" w:type="dxa"/>
            </w:tcMar>
            <w:vAlign w:val="center"/>
          </w:tcPr>
          <w:p w14:paraId="2A97C660" w14:textId="77777777" w:rsidR="00283618" w:rsidRDefault="00000000">
            <w:r>
              <w:rPr>
                <w:color w:val="182233"/>
                <w:sz w:val="19"/>
                <w:szCs w:val="19"/>
              </w:rPr>
              <w:t>Medium (16–25%)</w:t>
            </w:r>
          </w:p>
        </w:tc>
        <w:tc>
          <w:tcPr>
            <w:tcW w:w="3117" w:type="dxa"/>
            <w:tcMar>
              <w:top w:w="100" w:type="dxa"/>
              <w:left w:w="120" w:type="dxa"/>
              <w:bottom w:w="100" w:type="dxa"/>
              <w:right w:w="120" w:type="dxa"/>
            </w:tcMar>
            <w:vAlign w:val="center"/>
          </w:tcPr>
          <w:p w14:paraId="1BA223F9" w14:textId="432CFFDF" w:rsidR="00283618" w:rsidRDefault="00771891">
            <w:r>
              <w:rPr>
                <w:color w:val="182233"/>
                <w:sz w:val="19"/>
                <w:szCs w:val="19"/>
              </w:rPr>
              <w:t>$484,445</w:t>
            </w:r>
          </w:p>
        </w:tc>
        <w:tc>
          <w:tcPr>
            <w:tcW w:w="3116" w:type="dxa"/>
            <w:tcMar>
              <w:top w:w="100" w:type="dxa"/>
              <w:left w:w="120" w:type="dxa"/>
              <w:bottom w:w="100" w:type="dxa"/>
              <w:right w:w="120" w:type="dxa"/>
            </w:tcMar>
            <w:vAlign w:val="center"/>
          </w:tcPr>
          <w:p w14:paraId="364ACBCB" w14:textId="77777777" w:rsidR="00283618" w:rsidRDefault="00000000">
            <w:r>
              <w:rPr>
                <w:color w:val="182233"/>
                <w:sz w:val="19"/>
                <w:szCs w:val="19"/>
              </w:rPr>
              <w:t>10.37%</w:t>
            </w:r>
          </w:p>
        </w:tc>
      </w:tr>
      <w:tr w:rsidR="00283618" w14:paraId="3DB22A26" w14:textId="77777777">
        <w:tc>
          <w:tcPr>
            <w:tcW w:w="3117" w:type="dxa"/>
            <w:shd w:val="clear" w:color="F3F6F9" w:fill="F3F6F9"/>
            <w:tcMar>
              <w:top w:w="100" w:type="dxa"/>
              <w:left w:w="120" w:type="dxa"/>
              <w:bottom w:w="100" w:type="dxa"/>
              <w:right w:w="120" w:type="dxa"/>
            </w:tcMar>
            <w:vAlign w:val="center"/>
          </w:tcPr>
          <w:p w14:paraId="31B7D6ED" w14:textId="77777777" w:rsidR="00283618" w:rsidRDefault="00000000">
            <w:r>
              <w:rPr>
                <w:color w:val="182233"/>
                <w:sz w:val="19"/>
                <w:szCs w:val="19"/>
              </w:rPr>
              <w:lastRenderedPageBreak/>
              <w:t>High (26%+)</w:t>
            </w:r>
          </w:p>
        </w:tc>
        <w:tc>
          <w:tcPr>
            <w:tcW w:w="3117" w:type="dxa"/>
            <w:shd w:val="clear" w:color="F3F6F9" w:fill="F3F6F9"/>
            <w:tcMar>
              <w:top w:w="100" w:type="dxa"/>
              <w:left w:w="120" w:type="dxa"/>
              <w:bottom w:w="100" w:type="dxa"/>
              <w:right w:w="120" w:type="dxa"/>
            </w:tcMar>
            <w:vAlign w:val="center"/>
          </w:tcPr>
          <w:p w14:paraId="74BD180A" w14:textId="77777777" w:rsidR="00283618" w:rsidRDefault="00000000">
            <w:r>
              <w:rPr>
                <w:color w:val="182233"/>
                <w:sz w:val="19"/>
                <w:szCs w:val="19"/>
              </w:rPr>
              <w:t>$457,816</w:t>
            </w:r>
          </w:p>
        </w:tc>
        <w:tc>
          <w:tcPr>
            <w:tcW w:w="3116" w:type="dxa"/>
            <w:shd w:val="clear" w:color="F3F6F9" w:fill="F3F6F9"/>
            <w:tcMar>
              <w:top w:w="100" w:type="dxa"/>
              <w:left w:w="120" w:type="dxa"/>
              <w:bottom w:w="100" w:type="dxa"/>
              <w:right w:w="120" w:type="dxa"/>
            </w:tcMar>
            <w:vAlign w:val="center"/>
          </w:tcPr>
          <w:p w14:paraId="15501E96" w14:textId="77777777" w:rsidR="00283618" w:rsidRDefault="00000000">
            <w:r>
              <w:rPr>
                <w:color w:val="182233"/>
                <w:sz w:val="19"/>
                <w:szCs w:val="19"/>
              </w:rPr>
              <w:t>12.24%</w:t>
            </w:r>
          </w:p>
        </w:tc>
      </w:tr>
    </w:tbl>
    <w:p w14:paraId="7707BC7B" w14:textId="77777777" w:rsidR="00283618" w:rsidRDefault="00283618">
      <w:pPr>
        <w:spacing w:after="170" w:line="320" w:lineRule="auto"/>
      </w:pPr>
    </w:p>
    <w:p w14:paraId="7ED6C23A" w14:textId="77777777" w:rsidR="00283618" w:rsidRDefault="00000000">
      <w:pPr>
        <w:pBdr>
          <w:left w:val="single" w:sz="24" w:space="12" w:color="1B998B"/>
        </w:pBdr>
        <w:spacing w:before="200" w:after="200"/>
        <w:ind w:left="400" w:right="400"/>
      </w:pPr>
      <w:r>
        <w:rPr>
          <w:i/>
          <w:iCs/>
          <w:color w:val="0B2545"/>
          <w:sz w:val="24"/>
          <w:szCs w:val="24"/>
        </w:rPr>
        <w:t>The heaviest-discounted orders carried the strongest margins in the dataset — the exact opposite of the conventional wisdom.</w:t>
      </w:r>
    </w:p>
    <w:p w14:paraId="76880A1F" w14:textId="437200B8" w:rsidR="00771891" w:rsidRPr="00771891" w:rsidRDefault="00771891" w:rsidP="00771891">
      <w:pPr>
        <w:spacing w:before="420" w:after="40"/>
        <w:rPr>
          <w:color w:val="182233"/>
          <w:sz w:val="22"/>
          <w:szCs w:val="22"/>
        </w:rPr>
      </w:pPr>
      <w:r>
        <w:rPr>
          <w:color w:val="182233"/>
          <w:sz w:val="22"/>
          <w:szCs w:val="22"/>
        </w:rPr>
        <w:t>This is exactly the kind of finding a good analyst treats with respect, not certainty. It is a finding to investigate, not a reason to immediately change pricing policy.</w:t>
      </w:r>
    </w:p>
    <w:p w14:paraId="33C6E879" w14:textId="4C8FCB2B" w:rsidR="00771891" w:rsidRDefault="00771891">
      <w:pPr>
        <w:spacing w:before="420" w:after="40"/>
        <w:rPr>
          <w:color w:val="182233"/>
          <w:sz w:val="22"/>
          <w:szCs w:val="22"/>
        </w:rPr>
      </w:pPr>
      <w:r>
        <w:rPr>
          <w:color w:val="182233"/>
          <w:sz w:val="22"/>
          <w:szCs w:val="22"/>
        </w:rPr>
        <w:t>The relationship could be influenced by product mix, transaction characteristics, or other factors in the dataset. The appropriate next step would be to examine the transaction-level and product-level drivers before making a business decision.</w:t>
      </w:r>
    </w:p>
    <w:p w14:paraId="09BB4957" w14:textId="60AEFA58" w:rsidR="00283618" w:rsidRDefault="00000000">
      <w:pPr>
        <w:spacing w:before="420" w:after="40"/>
      </w:pPr>
      <w:r>
        <w:rPr>
          <w:b/>
          <w:bCs/>
          <w:color w:val="1B998B"/>
          <w:spacing w:val="20"/>
          <w:sz w:val="18"/>
          <w:szCs w:val="18"/>
        </w:rPr>
        <w:t>CHAPTER 5</w:t>
      </w:r>
    </w:p>
    <w:p w14:paraId="140C41C0" w14:textId="77777777" w:rsidR="00771891" w:rsidRDefault="00000000" w:rsidP="00771891">
      <w:pPr>
        <w:pStyle w:val="Heading1"/>
        <w:spacing w:before="420" w:after="200"/>
        <w:rPr>
          <w:b/>
          <w:bCs/>
          <w:color w:val="0B2545"/>
          <w:sz w:val="30"/>
          <w:szCs w:val="30"/>
        </w:rPr>
      </w:pPr>
      <w:r>
        <w:rPr>
          <w:b/>
          <w:bCs/>
          <w:color w:val="0B2545"/>
          <w:sz w:val="30"/>
          <w:szCs w:val="30"/>
        </w:rPr>
        <w:t>What We Recommend</w:t>
      </w:r>
    </w:p>
    <w:p w14:paraId="1B97626C" w14:textId="72C53EEF" w:rsidR="00771891" w:rsidRPr="00771891" w:rsidRDefault="00771891" w:rsidP="00771891">
      <w:pPr>
        <w:pStyle w:val="Heading1"/>
        <w:spacing w:before="420" w:after="200"/>
      </w:pPr>
      <w:r>
        <w:rPr>
          <w:color w:val="182233"/>
          <w:sz w:val="22"/>
          <w:szCs w:val="22"/>
        </w:rPr>
        <w:t>If this were a live business, the analysis would point toward three immediate moves:</w:t>
      </w:r>
    </w:p>
    <w:p w14:paraId="3BFAEFFA" w14:textId="54D21C60" w:rsidR="00771891" w:rsidRPr="00771891" w:rsidRDefault="00771891" w:rsidP="00771891">
      <w:pPr>
        <w:pStyle w:val="ListParagraph"/>
        <w:numPr>
          <w:ilvl w:val="0"/>
          <w:numId w:val="5"/>
        </w:numPr>
        <w:spacing w:before="420" w:after="40"/>
        <w:rPr>
          <w:color w:val="182233"/>
          <w:sz w:val="22"/>
          <w:szCs w:val="22"/>
        </w:rPr>
      </w:pPr>
      <w:r>
        <w:rPr>
          <w:b/>
          <w:bCs/>
          <w:color w:val="182233"/>
          <w:sz w:val="22"/>
          <w:szCs w:val="22"/>
        </w:rPr>
        <w:t>Investigate East's performance gap first</w:t>
      </w:r>
      <w:r>
        <w:rPr>
          <w:color w:val="182233"/>
          <w:sz w:val="22"/>
          <w:szCs w:val="22"/>
        </w:rPr>
        <w:t xml:space="preserve"> — compare its product mix, discount mix, shipping patterns, revenue, and profitability with stronger-performing regions.</w:t>
      </w:r>
    </w:p>
    <w:p w14:paraId="24D50CE2" w14:textId="77777777" w:rsidR="00771891" w:rsidRPr="00771891" w:rsidRDefault="00771891" w:rsidP="00771891">
      <w:pPr>
        <w:numPr>
          <w:ilvl w:val="0"/>
          <w:numId w:val="4"/>
        </w:numPr>
        <w:spacing w:before="420" w:after="40"/>
        <w:rPr>
          <w:color w:val="182233"/>
          <w:sz w:val="22"/>
          <w:szCs w:val="22"/>
        </w:rPr>
      </w:pPr>
      <w:r>
        <w:rPr>
          <w:b/>
          <w:bCs/>
          <w:color w:val="182233"/>
          <w:sz w:val="22"/>
          <w:szCs w:val="22"/>
        </w:rPr>
        <w:t>Pressure-test the discount-margin finding</w:t>
      </w:r>
      <w:r>
        <w:rPr>
          <w:color w:val="182233"/>
          <w:sz w:val="22"/>
          <w:szCs w:val="22"/>
        </w:rPr>
        <w:t xml:space="preserve"> with transaction-level and product-level analysis before changing any pricing policy. A surprising result deserves scrutiny, not immediate action.</w:t>
      </w:r>
    </w:p>
    <w:p w14:paraId="1C5C0362" w14:textId="77777777" w:rsidR="00771891" w:rsidRPr="00771891" w:rsidRDefault="00771891" w:rsidP="00771891">
      <w:pPr>
        <w:numPr>
          <w:ilvl w:val="0"/>
          <w:numId w:val="4"/>
        </w:numPr>
        <w:spacing w:before="420" w:after="40"/>
        <w:rPr>
          <w:color w:val="182233"/>
          <w:sz w:val="22"/>
          <w:szCs w:val="22"/>
        </w:rPr>
      </w:pPr>
      <w:r>
        <w:rPr>
          <w:b/>
          <w:bCs/>
          <w:color w:val="182233"/>
          <w:sz w:val="22"/>
          <w:szCs w:val="22"/>
        </w:rPr>
        <w:t>Keep the SQL cleaning layer as the single source of truth</w:t>
      </w:r>
      <w:r>
        <w:rPr>
          <w:color w:val="182233"/>
          <w:sz w:val="22"/>
          <w:szCs w:val="22"/>
        </w:rPr>
        <w:t xml:space="preserve"> so future Power BI and reporting work starts from the same validated dataset rather than repeating the cleanup independently.</w:t>
      </w:r>
    </w:p>
    <w:p w14:paraId="18601BBD" w14:textId="35431E05" w:rsidR="00771891" w:rsidRDefault="00771891">
      <w:pPr>
        <w:spacing w:before="420" w:after="40"/>
        <w:rPr>
          <w:color w:val="182233"/>
          <w:sz w:val="22"/>
          <w:szCs w:val="22"/>
        </w:rPr>
      </w:pPr>
      <w:r>
        <w:rPr>
          <w:color w:val="182233"/>
          <w:sz w:val="22"/>
          <w:szCs w:val="22"/>
        </w:rPr>
        <w:t>A further operational improvement would be to standardize the source data-entry process so Region, Ship Mode, Discount, dates, and other controlled fields are entered consistently from the beginning.</w:t>
      </w:r>
    </w:p>
    <w:p w14:paraId="73B18ABA" w14:textId="0792735B" w:rsidR="00283618" w:rsidRDefault="00000000">
      <w:pPr>
        <w:spacing w:before="420" w:after="40"/>
      </w:pPr>
      <w:r>
        <w:rPr>
          <w:b/>
          <w:bCs/>
          <w:color w:val="1B998B"/>
          <w:spacing w:val="20"/>
          <w:sz w:val="18"/>
          <w:szCs w:val="18"/>
        </w:rPr>
        <w:t>EPILOGUE</w:t>
      </w:r>
    </w:p>
    <w:p w14:paraId="7D23EE10" w14:textId="77777777" w:rsidR="00283618" w:rsidRDefault="00000000">
      <w:pPr>
        <w:pStyle w:val="Heading1"/>
        <w:spacing w:before="420" w:after="200"/>
      </w:pPr>
      <w:r>
        <w:rPr>
          <w:b/>
          <w:bCs/>
          <w:color w:val="0B2545"/>
          <w:sz w:val="30"/>
          <w:szCs w:val="30"/>
        </w:rPr>
        <w:t>Why This Story Matters</w:t>
      </w:r>
    </w:p>
    <w:p w14:paraId="41701337" w14:textId="77777777" w:rsidR="00771891" w:rsidRPr="00771891" w:rsidRDefault="00771891" w:rsidP="00771891">
      <w:pPr>
        <w:spacing w:after="170" w:line="320" w:lineRule="auto"/>
      </w:pPr>
      <w:r>
        <w:t>The headline numbers in a dashboard are only useful when the data underneath them has been examined.</w:t>
      </w:r>
    </w:p>
    <w:p w14:paraId="039E0066" w14:textId="77777777" w:rsidR="00771891" w:rsidRPr="00771891" w:rsidRDefault="00771891" w:rsidP="00771891">
      <w:pPr>
        <w:spacing w:after="170" w:line="320" w:lineRule="auto"/>
      </w:pPr>
      <w:r>
        <w:t>The real value of this project was not simply creating charts. It was establishing a repeatable path from a 1,246-row messy source file to a 1,201-row cleaned dataset, with the transformations documented in SQL and the results presented through Power BI.</w:t>
      </w:r>
    </w:p>
    <w:p w14:paraId="5F81ED3E" w14:textId="77777777" w:rsidR="00771891" w:rsidRPr="00771891" w:rsidRDefault="00771891" w:rsidP="00771891">
      <w:pPr>
        <w:spacing w:after="170" w:line="320" w:lineRule="auto"/>
      </w:pPr>
      <w:r>
        <w:lastRenderedPageBreak/>
        <w:t>The project also makes an important limitation visible: 17 Profit values could not be reliably reconstructed from the available data. Instead of inventing numbers, those values were left NULL and treated as a limitation of the source data. That is an important part of trustworthy analysis.</w:t>
      </w:r>
    </w:p>
    <w:p w14:paraId="16775977" w14:textId="77777777" w:rsidR="00771891" w:rsidRPr="00771891" w:rsidRDefault="00771891" w:rsidP="00771891">
      <w:pPr>
        <w:spacing w:after="170" w:line="320" w:lineRule="auto"/>
      </w:pPr>
      <w:r>
        <w:rPr>
          <w:i/>
          <w:iCs/>
        </w:rPr>
        <w:t>That's the real job behind any dashboard — not just presenting numbers, but earning the right to say they can be trusted.</w:t>
      </w:r>
    </w:p>
    <w:p w14:paraId="7BAFD9F5" w14:textId="77777777" w:rsidR="00771891" w:rsidRPr="00771891" w:rsidRDefault="00771891" w:rsidP="00771891">
      <w:pPr>
        <w:spacing w:after="170" w:line="320" w:lineRule="auto"/>
      </w:pPr>
      <w:r>
        <w:t>Excel found the cracks. SQL cleaned and standardized the data. Power BI turned the results into a story. And the story gave the business clear areas to investigate next.</w:t>
      </w:r>
    </w:p>
    <w:p w14:paraId="12CC562B" w14:textId="6AE3734A" w:rsidR="00283618" w:rsidRPr="00771891" w:rsidRDefault="00283618">
      <w:pPr>
        <w:spacing w:after="170" w:line="320" w:lineRule="auto"/>
      </w:pPr>
    </w:p>
    <w:sectPr w:rsidR="00283618" w:rsidRPr="00771891">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4E29A" w14:textId="77777777" w:rsidR="00AE66F3" w:rsidRDefault="00AE66F3">
      <w:r>
        <w:separator/>
      </w:r>
    </w:p>
  </w:endnote>
  <w:endnote w:type="continuationSeparator" w:id="0">
    <w:p w14:paraId="6D5F9AD7" w14:textId="77777777" w:rsidR="00AE66F3" w:rsidRDefault="00AE6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75A0" w14:textId="77777777" w:rsidR="00283618" w:rsidRDefault="00000000">
    <w:pPr>
      <w:jc w:val="center"/>
    </w:pPr>
    <w:r>
      <w:rPr>
        <w:color w:val="6B7688"/>
        <w:sz w:val="16"/>
        <w:szCs w:val="16"/>
      </w:rPr>
      <w:t xml:space="preserve">Page </w:t>
    </w:r>
    <w:r>
      <w:rPr>
        <w:color w:val="6B7688"/>
        <w:sz w:val="16"/>
        <w:szCs w:val="16"/>
      </w:rPr>
      <w:fldChar w:fldCharType="begin"/>
    </w:r>
    <w:r>
      <w:rPr>
        <w:color w:val="6B7688"/>
        <w:sz w:val="16"/>
        <w:szCs w:val="16"/>
      </w:rPr>
      <w:instrText>PAGE</w:instrText>
    </w:r>
    <w:r>
      <w:rPr>
        <w:color w:val="6B7688"/>
        <w:sz w:val="16"/>
        <w:szCs w:val="16"/>
      </w:rPr>
      <w:fldChar w:fldCharType="separate"/>
    </w:r>
    <w:r w:rsidR="006C1C4C">
      <w:rPr>
        <w:noProof/>
        <w:color w:val="6B7688"/>
        <w:sz w:val="16"/>
        <w:szCs w:val="16"/>
      </w:rPr>
      <w:t>1</w:t>
    </w:r>
    <w:r>
      <w:rPr>
        <w:color w:val="6B7688"/>
        <w:sz w:val="16"/>
        <w:szCs w:val="16"/>
      </w:rPr>
      <w:fldChar w:fldCharType="end"/>
    </w:r>
    <w:r>
      <w:rPr>
        <w:color w:val="6B7688"/>
        <w:sz w:val="16"/>
        <w:szCs w:val="16"/>
      </w:rPr>
      <w:t xml:space="preserve"> of </w:t>
    </w:r>
    <w:r>
      <w:rPr>
        <w:color w:val="6B7688"/>
        <w:sz w:val="16"/>
        <w:szCs w:val="16"/>
      </w:rPr>
      <w:fldChar w:fldCharType="begin"/>
    </w:r>
    <w:r>
      <w:rPr>
        <w:color w:val="6B7688"/>
        <w:sz w:val="16"/>
        <w:szCs w:val="16"/>
      </w:rPr>
      <w:instrText>NUMPAGES</w:instrText>
    </w:r>
    <w:r>
      <w:rPr>
        <w:color w:val="6B7688"/>
        <w:sz w:val="16"/>
        <w:szCs w:val="16"/>
      </w:rPr>
      <w:fldChar w:fldCharType="separate"/>
    </w:r>
    <w:r w:rsidR="006C1C4C">
      <w:rPr>
        <w:noProof/>
        <w:color w:val="6B7688"/>
        <w:sz w:val="16"/>
        <w:szCs w:val="16"/>
      </w:rPr>
      <w:t>2</w:t>
    </w:r>
    <w:r>
      <w:rPr>
        <w:color w:val="6B76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BE54" w14:textId="77777777" w:rsidR="00AE66F3" w:rsidRDefault="00AE66F3">
      <w:r>
        <w:separator/>
      </w:r>
    </w:p>
  </w:footnote>
  <w:footnote w:type="continuationSeparator" w:id="0">
    <w:p w14:paraId="5840FED0" w14:textId="77777777" w:rsidR="00AE66F3" w:rsidRDefault="00AE6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8E6A" w14:textId="77777777" w:rsidR="00283618" w:rsidRDefault="00000000">
    <w:pPr>
      <w:pBdr>
        <w:bottom w:val="single" w:sz="4" w:space="4" w:color="E3E8EF"/>
      </w:pBdr>
      <w:jc w:val="right"/>
    </w:pPr>
    <w:r>
      <w:rPr>
        <w:color w:val="6B7688"/>
        <w:sz w:val="16"/>
        <w:szCs w:val="16"/>
      </w:rPr>
      <w:t>A Retail Sales Data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0051"/>
    <w:multiLevelType w:val="hybridMultilevel"/>
    <w:tmpl w:val="B5E0FF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FD52C18"/>
    <w:multiLevelType w:val="multilevel"/>
    <w:tmpl w:val="8F0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B6384"/>
    <w:multiLevelType w:val="multilevel"/>
    <w:tmpl w:val="FD6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87590"/>
    <w:multiLevelType w:val="hybridMultilevel"/>
    <w:tmpl w:val="B2BA0FEA"/>
    <w:lvl w:ilvl="0" w:tplc="CE8686DC">
      <w:start w:val="1"/>
      <w:numFmt w:val="bullet"/>
      <w:lvlText w:val="●"/>
      <w:lvlJc w:val="left"/>
      <w:pPr>
        <w:ind w:left="720" w:hanging="360"/>
      </w:pPr>
    </w:lvl>
    <w:lvl w:ilvl="1" w:tplc="3F0AF162">
      <w:start w:val="1"/>
      <w:numFmt w:val="bullet"/>
      <w:lvlText w:val="○"/>
      <w:lvlJc w:val="left"/>
      <w:pPr>
        <w:ind w:left="1440" w:hanging="360"/>
      </w:pPr>
    </w:lvl>
    <w:lvl w:ilvl="2" w:tplc="C764DA8C">
      <w:start w:val="1"/>
      <w:numFmt w:val="bullet"/>
      <w:lvlText w:val="■"/>
      <w:lvlJc w:val="left"/>
      <w:pPr>
        <w:ind w:left="2160" w:hanging="360"/>
      </w:pPr>
    </w:lvl>
    <w:lvl w:ilvl="3" w:tplc="C1405230">
      <w:start w:val="1"/>
      <w:numFmt w:val="bullet"/>
      <w:lvlText w:val="●"/>
      <w:lvlJc w:val="left"/>
      <w:pPr>
        <w:ind w:left="2880" w:hanging="360"/>
      </w:pPr>
    </w:lvl>
    <w:lvl w:ilvl="4" w:tplc="73E6E14C">
      <w:start w:val="1"/>
      <w:numFmt w:val="bullet"/>
      <w:lvlText w:val="○"/>
      <w:lvlJc w:val="left"/>
      <w:pPr>
        <w:ind w:left="3600" w:hanging="360"/>
      </w:pPr>
    </w:lvl>
    <w:lvl w:ilvl="5" w:tplc="D854A4FA">
      <w:start w:val="1"/>
      <w:numFmt w:val="bullet"/>
      <w:lvlText w:val="■"/>
      <w:lvlJc w:val="left"/>
      <w:pPr>
        <w:ind w:left="4320" w:hanging="360"/>
      </w:pPr>
    </w:lvl>
    <w:lvl w:ilvl="6" w:tplc="A718BDFA">
      <w:start w:val="1"/>
      <w:numFmt w:val="bullet"/>
      <w:lvlText w:val="●"/>
      <w:lvlJc w:val="left"/>
      <w:pPr>
        <w:ind w:left="5040" w:hanging="360"/>
      </w:pPr>
    </w:lvl>
    <w:lvl w:ilvl="7" w:tplc="A39E866C">
      <w:start w:val="1"/>
      <w:numFmt w:val="bullet"/>
      <w:lvlText w:val="●"/>
      <w:lvlJc w:val="left"/>
      <w:pPr>
        <w:ind w:left="5760" w:hanging="360"/>
      </w:pPr>
    </w:lvl>
    <w:lvl w:ilvl="8" w:tplc="7FA0ABA2">
      <w:start w:val="1"/>
      <w:numFmt w:val="bullet"/>
      <w:lvlText w:val="●"/>
      <w:lvlJc w:val="left"/>
      <w:pPr>
        <w:ind w:left="6480" w:hanging="360"/>
      </w:pPr>
    </w:lvl>
  </w:abstractNum>
  <w:abstractNum w:abstractNumId="4" w15:restartNumberingAfterBreak="0">
    <w:nsid w:val="6E840704"/>
    <w:multiLevelType w:val="multilevel"/>
    <w:tmpl w:val="91D8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981259">
    <w:abstractNumId w:val="3"/>
    <w:lvlOverride w:ilvl="0">
      <w:startOverride w:val="1"/>
    </w:lvlOverride>
  </w:num>
  <w:num w:numId="2" w16cid:durableId="387649326">
    <w:abstractNumId w:val="1"/>
  </w:num>
  <w:num w:numId="3" w16cid:durableId="1513762911">
    <w:abstractNumId w:val="4"/>
  </w:num>
  <w:num w:numId="4" w16cid:durableId="1635257356">
    <w:abstractNumId w:val="2"/>
  </w:num>
  <w:num w:numId="5" w16cid:durableId="165217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18"/>
    <w:rsid w:val="00223DBE"/>
    <w:rsid w:val="00283618"/>
    <w:rsid w:val="00486355"/>
    <w:rsid w:val="006077A2"/>
    <w:rsid w:val="006C1C4C"/>
    <w:rsid w:val="00771891"/>
    <w:rsid w:val="00823465"/>
    <w:rsid w:val="009F0B8B"/>
    <w:rsid w:val="00AE66F3"/>
    <w:rsid w:val="00BB66A1"/>
    <w:rsid w:val="00BD6AF6"/>
    <w:rsid w:val="00C67844"/>
    <w:rsid w:val="00F07A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E5C0"/>
  <w15:docId w15:val="{2D07DB5A-49E1-43E6-9A95-84CABBDB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B66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CIIT/FA23-BCS-019/WAH ALI ABBAS</cp:lastModifiedBy>
  <cp:revision>6</cp:revision>
  <dcterms:created xsi:type="dcterms:W3CDTF">2026-09-09T16:09:00Z</dcterms:created>
  <dcterms:modified xsi:type="dcterms:W3CDTF">2026-09-21T11:06:00Z</dcterms:modified>
</cp:coreProperties>
</file>