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0F172A"/>
          <w:sz w:val="36"/>
        </w:rPr>
        <w:t>Projeto Queimadas: Plataforma Interativa de Monitoramento, Análise Geoespacial e Inteligência de Dados de Focos de Calor no Brasil</w:t>
      </w:r>
    </w:p>
    <w:p>
      <w:pPr>
        <w:spacing w:before="0" w:after="280"/>
        <w:jc w:val="center"/>
      </w:pPr>
      <w:r>
        <w:rPr>
          <w:rFonts w:ascii="Calibri" w:hAnsi="Calibri"/>
          <w:b/>
          <w:color w:val="2563EB"/>
          <w:sz w:val="26"/>
        </w:rPr>
        <w:t>Uma Solução Integrada de Engenharia de Dados, WebGIS e Suporte à Tomada de Decisão Ambiental com Estudo de Caso no Estado do Pará</w:t>
      </w:r>
    </w:p>
    <w:p>
      <w:pPr>
        <w:spacing w:before="0" w:after="80"/>
        <w:jc w:val="center"/>
      </w:pPr>
      <w:r>
        <w:rPr>
          <w:b/>
          <w:color w:val="1E293B"/>
          <w:sz w:val="22"/>
        </w:rPr>
        <w:t>Equipe de Desenvolvimento e Pesquisa em Engenharia de Dados &amp; Geotecnologias</w:t>
      </w:r>
    </w:p>
    <w:p>
      <w:pPr>
        <w:spacing w:before="0" w:after="360"/>
        <w:jc w:val="center"/>
      </w:pPr>
      <w:r>
        <w:rPr>
          <w:i/>
          <w:color w:val="64748B"/>
          <w:sz w:val="19"/>
        </w:rPr>
        <w:t>Projeto Queimadas Pro • Repositório Aberto • Estado do Pará, Brasil</w:t>
      </w:r>
    </w:p>
    <w:p>
      <w:pPr>
        <w:keepNext/>
        <w:spacing w:before="240" w:after="80"/>
        <w:jc w:val="left"/>
      </w:pPr>
      <w:r>
        <w:rPr>
          <w:rFonts w:ascii="Calibri" w:hAnsi="Calibri"/>
          <w:b/>
          <w:color w:val="1E3A8A"/>
          <w:sz w:val="24"/>
        </w:rPr>
        <w:t>Resumo</w:t>
      </w:r>
    </w:p>
    <w:p>
      <w:pPr>
        <w:spacing w:line="288" w:lineRule="auto" w:after="120"/>
        <w:jc w:val="both"/>
      </w:pPr>
      <w:r>
        <w:rPr>
          <w:i w:val="0"/>
          <w:color w:val="1E293B"/>
          <w:sz w:val="22"/>
        </w:rPr>
        <w:t>O avanço das queimadas e dos incêndios florestais na Amazônia Legal brasileira representa um dos maiores desafios ecológicos e socioeconômicos contemporâneos, demandando sistemas computacionais ágeis para processamento, análise e visualização de dados espaciais e temporais em larga escala. Este trabalho apresenta o desenvolvimento, a arquitetura e a validação do Projeto Queimadas, uma plataforma completa e interativa de monitoramento ambiental e inteligência de dados baseada nas detecções orbitais do satélite de referência do Instituto Nacional de Pesquisas Espaciais (INPE/BDQueimadas). A solução implementa um pipeline automatizado de engenharia de dados (ETL) em cinco etapas: coleta em lote via streaming e descompactação em memória, padronização e limpeza com normalização de topônimos em padrão ASCII e indexação temporal, análise estatística com cálculo de variações sazonais Month-over-Month (MoM) e Year-over-Year (YoY), geração de gráficos científicos em alta resolução (300 DPI) e compilação automatizada de relatórios técnicos em formato PDF padrão A4. Na camada de interface com o usuário, foi construído um dashboard web moderno em Streamlit, estruturado em seis abas analíticas que incluem indicadores estratégicos de risco com glassmorphism, análise de séries temporais com range sliders, mapeamento geoespacial interativo com Folium (heatmaps e clusterização), rankings municipais dinâmicos, central de exportação interoperável multiformato (CSV UTF-8 BOM, Excel, GeoJSON e ESRI Shapefiles) e módulo de emissão de relatórios oficiais. Aplicado a um estudo de caso aprofundado no Estado do Pará com foco no município de Óbidos (2020 a 2024, englobando mais de 1,07 milhão de registros brutos e 218.458 focos validados no estado), o sistema revelou com precisão a dinâmica da estiagem no segundo semestre, a concentração de 83,4% dos focos entre agosto e novembro e o posicionamento de Óbidos na 11ª posição estadual (3.374 focos acumulados, representando 1,54% do total paraense). Os resultados demonstram a robustez, reprodutibilidade e eficácia da ferramenta como um Sistema de Apoio à Decisão (SAD) acessível a gestores públicos, brigadistas e pesquisadores ambientais.</w:t>
      </w:r>
    </w:p>
    <w:p>
      <w:pPr>
        <w:spacing w:line="288" w:lineRule="auto" w:after="120"/>
        <w:jc w:val="both"/>
      </w:pPr>
      <w:r>
        <w:rPr>
          <w:b/>
          <w:color w:val="0F172A"/>
          <w:sz w:val="22"/>
        </w:rPr>
        <w:t xml:space="preserve">Palavras-chave: </w:t>
      </w:r>
      <w:r>
        <w:rPr>
          <w:i w:val="0"/>
          <w:color w:val="1E293B"/>
          <w:sz w:val="22"/>
        </w:rPr>
        <w:t>Monitoramento Ambiental; Queimadas; Amazônia Legal; Sensoriamento Remoto; Streamlit; Folium; Engenharia de Dados; WebGIS.</w:t>
      </w:r>
    </w:p>
    <w:p>
      <w:pPr>
        <w:keepNext/>
        <w:spacing w:before="240" w:after="80"/>
        <w:jc w:val="left"/>
      </w:pPr>
      <w:r>
        <w:rPr>
          <w:rFonts w:ascii="Calibri" w:hAnsi="Calibri"/>
          <w:b/>
          <w:color w:val="1E3A8A"/>
          <w:sz w:val="24"/>
        </w:rPr>
        <w:t>Abstract</w:t>
      </w:r>
    </w:p>
    <w:p>
      <w:pPr>
        <w:spacing w:line="288" w:lineRule="auto" w:after="120"/>
        <w:jc w:val="both"/>
      </w:pPr>
      <w:r>
        <w:rPr>
          <w:i w:val="0"/>
          <w:color w:val="1E293B"/>
          <w:sz w:val="22"/>
        </w:rPr>
        <w:t>The proliferation of wildfires and deforestation fires across the Brazilian Legal Amazon constitutes one of the most critical ecological and socio-economic challenges of our time, necessitating agile computational systems for large-scale spatial and temporal data processing, analysis, and visualization. This paper details the engineering, architecture, and deployment of Projeto Queimadas, an open-source, interactive environmental intelligence and monitoring platform driven by satellite thermal anomaly detections from Brazil's National Institute for Space Research (INPE/BDQueimadas). The platform establishes an automated five-stage data engineering pipeline: high-throughput stream ingestion and in-memory decompression, data sanitization and schema standardization with ASCII toponym normalization and temporal indexing, statistical analytics calculating Month-over-Month (MoM) and Year-over-Year (YoY) variations, high-resolution scientific plot rendering (300 DPI), and automated technical PDF report compilation following formal governmental publication standards. The presentation layer features a modern Streamlit web dashboard structured into six distinct analytical modules: executive KPI glassmorphism cards and dynamic risk gauges, historical time series analysis with interactive range sliders, Folium WebGIS spatial mapping (heatmaps and point clustering), municipal ranking leaderboards, an interoperable multi-format export center (CSV UTF-8 BOM, Excel, GeoJSON, and ESRI Shapefiles), and direct PDF report delivery. Evaluated through an extensive case study across Pará State with emphasis on Óbidos municipality from 2020 to 2024 (spanning over 1.07 million raw detections and 218,458 verified state fire events), the system accurately delineated the severe dry season peaks between August and November (accounting for 83.4% of annual activity) and identified Óbidos in the 11th state ranking position (3,374 cumulative fire points; 1.54% of state total). The findings validate the architecture as a high-performance, cost-effective Spatial Decision Support System (SDSS) suitable for public administrators, environmental defense agencies, and forestry monitoring teams.</w:t>
      </w:r>
    </w:p>
    <w:p>
      <w:pPr>
        <w:spacing w:line="288" w:lineRule="auto" w:after="120"/>
        <w:jc w:val="both"/>
      </w:pPr>
      <w:r>
        <w:rPr>
          <w:b/>
          <w:color w:val="0F172A"/>
          <w:sz w:val="22"/>
        </w:rPr>
        <w:t xml:space="preserve">Keywords: </w:t>
      </w:r>
      <w:r>
        <w:rPr>
          <w:i w:val="0"/>
          <w:color w:val="1E293B"/>
          <w:sz w:val="22"/>
        </w:rPr>
        <w:t>Environmental Monitoring; Wildfires; Amazon Rainforest; Remote Sensing; Streamlit; Folium; Data Engineering; WebGIS.</w:t>
      </w:r>
    </w:p>
    <w:p>
      <w:pPr>
        <w:keepNext/>
        <w:spacing w:before="320" w:after="120"/>
        <w:jc w:val="left"/>
      </w:pPr>
      <w:r>
        <w:rPr>
          <w:rFonts w:ascii="Calibri" w:hAnsi="Calibri"/>
          <w:b/>
          <w:color w:val="0F172A"/>
          <w:sz w:val="28"/>
        </w:rPr>
        <w:t>1. Introdução</w:t>
      </w:r>
    </w:p>
    <w:p>
      <w:pPr>
        <w:spacing w:line="288" w:lineRule="auto" w:after="120"/>
        <w:jc w:val="both"/>
      </w:pPr>
      <w:r>
        <w:rPr>
          <w:i w:val="0"/>
          <w:color w:val="1E293B"/>
          <w:sz w:val="22"/>
        </w:rPr>
        <w:t>A preservação da cobertura vegetal e a mitigação dos impactos das mudanças climáticas na região amazônica figuram entre os tópicos mais urgentes da agenda ambiental global. O bioma Amazônia, caracterizado por sua inestimável biodiversidade e papel regulador no ciclo hidrológico e no balanço de carbono planetário, enfrenta pressões crescentes decorrentes do avanço agropecuário, da grilagem de terras, do desmatamento ilegal e do uso indiscriminado do fogo como prática de limpeza de solo e manejo de pastagens (INPE, 2024; ALENCAR et al., 2022).</w:t>
      </w:r>
    </w:p>
    <w:p>
      <w:pPr>
        <w:spacing w:line="288" w:lineRule="auto" w:after="120"/>
        <w:jc w:val="both"/>
      </w:pPr>
      <w:r>
        <w:rPr>
          <w:i w:val="0"/>
          <w:color w:val="1E293B"/>
          <w:sz w:val="22"/>
        </w:rPr>
        <w:t>No âmbito do Estado do Pará — segundo maior estado em extensão territorial da federação brasileira e historicamente um dos mais afetados por queimadas e desmatamento na Amazônia Legal —, a dinâmica do fogo exibe forte dependência de fatores climáticos sazonais e de vetores antrópicos de ocupação territorial. Durante o período de estiagem regional, compreendido entre os meses de julho e dezembro, os índices de umidade do solo e da biomassa decrescem drasticamente, potencializando a propagação descontrolada de queimadas agrícolas e incêndios florestais catastróficos.</w:t>
      </w:r>
    </w:p>
    <w:p>
      <w:pPr>
        <w:spacing w:line="288" w:lineRule="auto" w:after="120"/>
        <w:jc w:val="both"/>
      </w:pPr>
      <w:r>
        <w:rPr>
          <w:i w:val="0"/>
          <w:color w:val="1E293B"/>
          <w:sz w:val="22"/>
        </w:rPr>
        <w:t>Para fazer frente a essa problemática, o Instituto Nacional de Pesquisas Espaciais (INPE), por meio do Programa Queimadas e do portal BDQueimadas, disponibiliza publicamente dados diários de focos de calor detectados por uma constelação de satélites meteorológicos e de observação da Terra, destacando-se o satélite de referência (Aqua/MODIS e seus sensores correlatos). Contudo, embora os dados brutos sejam disponibilizados com ampla cobertura e granularidade temporal, a sua efetiva utilização por gestores municipais, órgãos de fiscalização (como IBAMA, ICMBio e Secretarias Municipais de Meio Ambiente), brigadas civis e pesquisadores enfrenta barreiras técnicas substanciais, tais como:</w:t>
      </w:r>
    </w:p>
    <w:p>
      <w:pPr>
        <w:pStyle w:val="ListBullet"/>
        <w:spacing w:line="276" w:lineRule="auto" w:after="60"/>
        <w:jc w:val="both"/>
      </w:pPr>
      <w:r>
        <w:rPr>
          <w:b/>
          <w:sz w:val="21"/>
        </w:rPr>
        <w:t xml:space="preserve">a) Heterogeneidade e Volume: </w:t>
      </w:r>
      <w:r>
        <w:rPr>
          <w:color w:val="1E293B"/>
          <w:sz w:val="21"/>
        </w:rPr>
        <w:t>Grandes volumes de dados tabulares não normalizados, distribuídos em arquivos anuais compactados com diferentes codificações e convenções de nomenclatura;</w:t>
      </w:r>
    </w:p>
    <w:p>
      <w:pPr>
        <w:pStyle w:val="ListBullet"/>
        <w:spacing w:line="276" w:lineRule="auto" w:after="60"/>
        <w:jc w:val="both"/>
      </w:pPr>
      <w:r>
        <w:rPr>
          <w:b/>
          <w:sz w:val="21"/>
        </w:rPr>
        <w:t xml:space="preserve">b) Complexidade Técnica: </w:t>
      </w:r>
      <w:r>
        <w:rPr>
          <w:color w:val="1E293B"/>
          <w:sz w:val="21"/>
        </w:rPr>
        <w:t>Necessidade de conhecimentos especializados em Sistemas de Informação Geográfica (SIG) e linguagens de programação para realizar cruzamentos espaciais, agregações e conversões de projeção cartográfica;</w:t>
      </w:r>
    </w:p>
    <w:p>
      <w:pPr>
        <w:pStyle w:val="ListBullet"/>
        <w:spacing w:line="276" w:lineRule="auto" w:after="60"/>
        <w:jc w:val="both"/>
      </w:pPr>
      <w:r>
        <w:rPr>
          <w:b/>
          <w:sz w:val="21"/>
        </w:rPr>
        <w:t xml:space="preserve">c) Usabilidade e Acessibilidade: </w:t>
      </w:r>
      <w:r>
        <w:rPr>
          <w:color w:val="1E293B"/>
          <w:sz w:val="21"/>
        </w:rPr>
        <w:t>Carência de painéis web interativos leves, rápidos e com design intuitivo que permitam consultas customizadas por município, comparações interanuais e diagnósticos imediatos de intensidade e risco de fogo;</w:t>
      </w:r>
    </w:p>
    <w:p>
      <w:pPr>
        <w:pStyle w:val="ListBullet"/>
        <w:spacing w:line="276" w:lineRule="auto" w:after="60"/>
        <w:jc w:val="both"/>
      </w:pPr>
      <w:r>
        <w:rPr>
          <w:b/>
          <w:sz w:val="21"/>
        </w:rPr>
        <w:t xml:space="preserve">d) Interoperabilidade: </w:t>
      </w:r>
      <w:r>
        <w:rPr>
          <w:color w:val="1E293B"/>
          <w:sz w:val="21"/>
        </w:rPr>
        <w:t>Dificuldade de exportação direta para formatos compatíveis com ferramentas corporativas (Microsoft Excel) e softwares de geoprocessamento líderes de mercado (QGIS, ArcGIS, Google Earth).</w:t>
      </w:r>
    </w:p>
    <w:p>
      <w:pPr>
        <w:spacing w:line="288" w:lineRule="auto" w:after="120"/>
        <w:jc w:val="both"/>
      </w:pPr>
      <w:r>
        <w:rPr>
          <w:i w:val="0"/>
          <w:color w:val="1E293B"/>
          <w:sz w:val="22"/>
        </w:rPr>
        <w:t>Com o intuito de preencher essa lacuna tecnológica e metodológica, este artigo apresenta o Projeto Queimadas Pro, uma arquitetura ponta a ponta que engloba um pipeline robusto de engenharia de dados (ETL), um motor analítico-estatístico avançado, geradores automáticos de relatórios técnicos em formato PDF e um painel web interativo desenvolvido em Python com as bibliotecas Streamlit, Folium, Altair e Plotly. A plataforma foi aplicada e validada com uma base histórica de 2020 a 2024 no Estado do Pará, com análise vertical aprofundada sobre o município de Óbidos.</w:t>
      </w:r>
    </w:p>
    <w:p>
      <w:pPr>
        <w:spacing w:line="288" w:lineRule="auto" w:after="120"/>
        <w:jc w:val="both"/>
      </w:pPr>
      <w:r>
        <w:rPr>
          <w:i w:val="0"/>
          <w:color w:val="1E293B"/>
          <w:sz w:val="22"/>
        </w:rPr>
        <w:t>O restante deste artigo está organizado da seguinte forma: a Seção 2 revisa a fundamentação teórica sobre sensoriamento remoto térmico e sistemas de apoio à decisão; a Seção 3 detalha os materiais, métodos e arquitetura computacional do pipeline; a Seção 4 descreve a implementação do dashboard e seus módulos funcionais; a Seção 5 apresenta e discute os resultados quantitativos obtidos; e a Seção 6 conclui o trabalho indicando diretrizes para desenvolvimentos futuros.</w:t>
      </w:r>
    </w:p>
    <w:p>
      <w:pPr>
        <w:keepNext/>
        <w:spacing w:before="320" w:after="120"/>
        <w:jc w:val="left"/>
      </w:pPr>
      <w:r>
        <w:rPr>
          <w:rFonts w:ascii="Calibri" w:hAnsi="Calibri"/>
          <w:b/>
          <w:color w:val="0F172A"/>
          <w:sz w:val="28"/>
        </w:rPr>
        <w:t>2. Fundamentação Teórica e Trabalhos Relacionados</w:t>
      </w:r>
    </w:p>
    <w:p>
      <w:pPr>
        <w:keepNext/>
        <w:spacing w:before="240" w:after="80"/>
        <w:jc w:val="left"/>
      </w:pPr>
      <w:r>
        <w:rPr>
          <w:rFonts w:ascii="Calibri" w:hAnsi="Calibri"/>
          <w:b/>
          <w:color w:val="1E3A8A"/>
          <w:sz w:val="24"/>
        </w:rPr>
        <w:t>2.1 Sensoriamento Remoto Orbital e Detecção de Queimadas</w:t>
      </w:r>
    </w:p>
    <w:p>
      <w:pPr>
        <w:spacing w:line="288" w:lineRule="auto" w:after="120"/>
        <w:jc w:val="both"/>
      </w:pPr>
      <w:r>
        <w:rPr>
          <w:i w:val="0"/>
          <w:color w:val="1E293B"/>
          <w:sz w:val="22"/>
        </w:rPr>
        <w:t>A detecção orbital de focos de calor baseia-se no princípio físico da radiação de corpo negro, regido pela Lei de Planck. O sensor Moderate Resolution Imaging Spectroradiometer (MODIS), embarcado a bordo dos satélites Aqua e Terra da NASA, opera em múltiplos canais espectrais, com destaque para as bandas no infravermelho médio (aproximadamente 3,9 µm a 4,0 µm) e no infravermelho termal (10,5 µm a 12,5 µm) (GIGLIO et al., 2016; SETZER et al., 2020).</w:t>
      </w:r>
    </w:p>
    <w:p>
      <w:pPr>
        <w:spacing w:line="288" w:lineRule="auto" w:after="120"/>
        <w:jc w:val="both"/>
      </w:pPr>
      <w:r>
        <w:rPr>
          <w:i w:val="0"/>
          <w:color w:val="1E293B"/>
          <w:sz w:val="22"/>
        </w:rPr>
        <w:t>O algoritmo contextual de detecção de fogo identifica variações bruscas de temperatura de brilho (Brightness Temperature - BT) em um pixel de 1 km² em relação aos pixels vizinhos livres de fumaça e nuvens. Quando a temperatura e a emissividade radiativa excedem limites estatísticos calibrados, o evento é classificado como um foco de calor com suas respectivas coordenadas geodésicas (Latitude e Longitude referenciadas ao elipsoide WGS84).</w:t>
      </w:r>
    </w:p>
    <w:p>
      <w:pPr>
        <w:spacing w:line="288" w:lineRule="auto" w:after="120"/>
        <w:jc w:val="both"/>
      </w:pPr>
      <w:r>
        <w:rPr>
          <w:i w:val="0"/>
          <w:color w:val="1E293B"/>
          <w:sz w:val="22"/>
        </w:rPr>
        <w:t>O INPE padroniza a série histórica brasileira utilizando o conceito de Satélite de Referência (historicamente o satélite Aqua no horário de passagem diurna/noturna), o que assegura comparabilidade temporal e consistência estatística entre diferentes anos, evitando flutuações artificiais decorrentes de alterações na frota satelital (INPE, 2024).</w:t>
      </w:r>
    </w:p>
    <w:p>
      <w:pPr>
        <w:keepNext/>
        <w:spacing w:before="240" w:after="80"/>
        <w:jc w:val="left"/>
      </w:pPr>
      <w:r>
        <w:rPr>
          <w:rFonts w:ascii="Calibri" w:hAnsi="Calibri"/>
          <w:b/>
          <w:color w:val="1E3A8A"/>
          <w:sz w:val="24"/>
        </w:rPr>
        <w:t>2.2 Pipelines de Engenharia de Dados (ETL) e Interoperabilidade Geoespacial</w:t>
      </w:r>
    </w:p>
    <w:p>
      <w:pPr>
        <w:spacing w:line="288" w:lineRule="auto" w:after="120"/>
        <w:jc w:val="both"/>
      </w:pPr>
      <w:r>
        <w:rPr>
          <w:i w:val="0"/>
          <w:color w:val="1E293B"/>
          <w:sz w:val="22"/>
        </w:rPr>
        <w:t>No processamento de grandes massas de dados ambientais, a garantia de consistência, integridade e reprodutibilidade requer o emprego de arquiteturas modulares de Extração, Transformação e Carga (ETL). Segundo Kleppmann (2017), pipelines robustos devem implementar mecanismos de tratamento de falhas em cascata, validação de esquemas de dados (schema enforcement), isolamento de etapas de computação e persistência em camadas intermediárias padronizadas.</w:t>
      </w:r>
    </w:p>
    <w:p>
      <w:pPr>
        <w:spacing w:line="288" w:lineRule="auto" w:after="120"/>
        <w:jc w:val="both"/>
      </w:pPr>
      <w:r>
        <w:rPr>
          <w:i w:val="0"/>
          <w:color w:val="1E293B"/>
          <w:sz w:val="22"/>
        </w:rPr>
        <w:t>No domínio geoespacial, a interoperabilidade é regulada pelos padrões da Open Geospatial Consortium (OGC). Formatos vetoriais como GeoJSON (RFC 7946), estruturados em notação JSON com pares de coordenadas geográficas [Longitude, Latitude], oferecem excelente integração com aplicações web, enquanto formatos tabulares espaciais como ESRI Shapefiles (.shp, .shx, .dbf, .prj) continuam sendo essenciais para fluxos de trabalho tradicionais em ferramentas SIG de desktop (SHEKHAR et al., 2016).</w:t>
      </w:r>
    </w:p>
    <w:p>
      <w:pPr>
        <w:keepNext/>
        <w:spacing w:before="240" w:after="80"/>
        <w:jc w:val="left"/>
      </w:pPr>
      <w:r>
        <w:rPr>
          <w:rFonts w:ascii="Calibri" w:hAnsi="Calibri"/>
          <w:b/>
          <w:color w:val="1E3A8A"/>
          <w:sz w:val="24"/>
        </w:rPr>
        <w:t>2.3 Sistemas de Apoio à Decisão (SAD) e Visualização Web</w:t>
      </w:r>
    </w:p>
    <w:p>
      <w:pPr>
        <w:spacing w:line="288" w:lineRule="auto" w:after="120"/>
        <w:jc w:val="both"/>
      </w:pPr>
      <w:r>
        <w:rPr>
          <w:i w:val="0"/>
          <w:color w:val="1E293B"/>
          <w:sz w:val="22"/>
        </w:rPr>
        <w:t>Sistemas de Apoio à Decisão Espacial (SDSS - Spatial Decision Support Systems) combinam capacidades de armazenamento de dados espaciais com interfaces gráficas analíticas para auxiliar gestores na formulação de políticas públicas, mitigação de riscos e alocação de recursos (MALCZEWSKI, 2006). A evolução recente de frameworks reativos em Python, tais como Streamlit e Dash, permitiu a construção de interfaces WebGIS de alto desempenho sem a complexidade de desenvolvimento de pilhas web tradicionais (HTML/JS/CSS), democratizando a criação de soluções orientadas a dados para a comunidade científica e governamental.</w:t>
      </w:r>
    </w:p>
    <w:p>
      <w:pPr>
        <w:keepNext/>
        <w:spacing w:before="320" w:after="120"/>
        <w:jc w:val="left"/>
      </w:pPr>
      <w:r>
        <w:rPr>
          <w:rFonts w:ascii="Calibri" w:hAnsi="Calibri"/>
          <w:b/>
          <w:color w:val="0F172A"/>
          <w:sz w:val="28"/>
        </w:rPr>
        <w:t>3. Materiais e Métodos</w:t>
      </w:r>
    </w:p>
    <w:p>
      <w:pPr>
        <w:keepNext/>
        <w:spacing w:before="240" w:after="80"/>
        <w:jc w:val="left"/>
      </w:pPr>
      <w:r>
        <w:rPr>
          <w:rFonts w:ascii="Calibri" w:hAnsi="Calibri"/>
          <w:b/>
          <w:color w:val="1E3A8A"/>
          <w:sz w:val="24"/>
        </w:rPr>
        <w:t>3.1 Fonte de Dados e Características da Amostra</w:t>
      </w:r>
    </w:p>
    <w:p>
      <w:pPr>
        <w:spacing w:line="288" w:lineRule="auto" w:after="120"/>
        <w:jc w:val="both"/>
      </w:pPr>
      <w:r>
        <w:rPr>
          <w:i w:val="0"/>
          <w:color w:val="1E293B"/>
          <w:sz w:val="22"/>
        </w:rPr>
        <w:t>Os dados utilizados neste estudo foram extraídos do portal oficial BDQueimadas do INPE, compreendendo os anos de 2020, 2021, 2022, 2023 e 2024 para todo o território brasileiro, com posterior recorte territorial para o Estado do Pará e detalhamento municipal para Óbidos. O conjunto bruto totalizou 1.075.841 registros com informações de data/hora de detecção, satélite, país, estado, município, bioma, coordenadas geográficas (latitude/longitude), número de dias sem chuva, precipitação acumulada e risco de fogo.</w:t>
      </w:r>
    </w:p>
    <w:p>
      <w:pPr>
        <w:keepNext/>
        <w:spacing w:before="240" w:after="80"/>
        <w:jc w:val="left"/>
      </w:pPr>
      <w:r>
        <w:rPr>
          <w:rFonts w:ascii="Calibri" w:hAnsi="Calibri"/>
          <w:b/>
          <w:color w:val="1E3A8A"/>
          <w:sz w:val="24"/>
        </w:rPr>
        <w:t>3.2 Arquitetura Geral do Sistema</w:t>
      </w:r>
    </w:p>
    <w:p>
      <w:pPr>
        <w:spacing w:line="288" w:lineRule="auto" w:after="120"/>
        <w:jc w:val="both"/>
      </w:pPr>
      <w:r>
        <w:rPr>
          <w:i w:val="0"/>
          <w:color w:val="1E293B"/>
          <w:sz w:val="22"/>
        </w:rPr>
        <w:t>A arquitetura do Projeto Queimadas Pro foi projetada sob o paradigma da modularidade, desacoplamento e alta coesão, dividindo-se em cinco camadas interdependentes: (1) Ingestão e Coleta; (2) Tratamento e Normalização; (3) Análise Estatística e Agregações; (4) Visualização Científica e Dashboard Web; e (5) Compilação de Relatórios Oficiais. A Figura 1 ilustra a topologia completa dos componentes e seus respectivos fluxos de dados.</w:t>
      </w:r>
    </w:p>
    <w:p>
      <w:pPr>
        <w:keepNext/>
        <w:spacing w:before="200" w:after="80"/>
        <w:jc w:val="center"/>
      </w:pP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diagrama_arquitetura_sistema.png"/>
                    <pic:cNvPicPr/>
                  </pic:nvPicPr>
                  <pic:blipFill>
                    <a:blip r:embed="rId9"/>
                    <a:stretch>
                      <a:fillRect/>
                    </a:stretch>
                  </pic:blipFill>
                  <pic:spPr>
                    <a:xfrm>
                      <a:off x="0" y="0"/>
                      <a:ext cx="5669280" cy="3222109"/>
                    </a:xfrm>
                    <a:prstGeom prst="rect"/>
                  </pic:spPr>
                </pic:pic>
              </a:graphicData>
            </a:graphic>
          </wp:inline>
        </w:drawing>
      </w:r>
    </w:p>
    <w:p>
      <w:pPr>
        <w:spacing w:before="0" w:after="240"/>
        <w:jc w:val="center"/>
      </w:pPr>
      <w:r>
        <w:rPr>
          <w:b/>
          <w:color w:val="475569"/>
          <w:sz w:val="19"/>
        </w:rPr>
        <w:t>Figura 1 – Diagrama de Arquitetura do Sistema do Projeto Queimadas Pro, evidenciando as cinco etapas do pipeline de dados, módulos computacionais e saídas analíticas. Fonte: Autores (2026).</w:t>
      </w:r>
    </w:p>
    <w:p>
      <w:pPr>
        <w:spacing w:line="288" w:lineRule="auto" w:after="120"/>
        <w:jc w:val="both"/>
      </w:pPr>
      <w:r>
        <w:rPr>
          <w:i w:val="0"/>
          <w:color w:val="1E293B"/>
          <w:sz w:val="22"/>
        </w:rPr>
        <w:t>O ciclo de vida dos dados, desde a requisição HTTP aos servidores do INPE até a disponibilização para consumo no dashboard interativo e nas centrais de download, é detalhado no fluxograma da Figura 2.</w:t>
      </w:r>
    </w:p>
    <w:p>
      <w:pPr>
        <w:keepNext/>
        <w:spacing w:before="200" w:after="80"/>
        <w:jc w:val="center"/>
      </w:pPr>
      <w:r>
        <w:drawing>
          <wp:inline xmlns:a="http://schemas.openxmlformats.org/drawingml/2006/main" xmlns:pic="http://schemas.openxmlformats.org/drawingml/2006/picture">
            <wp:extent cx="5669280" cy="2814247"/>
            <wp:docPr id="2" name="Picture 2"/>
            <wp:cNvGraphicFramePr>
              <a:graphicFrameLocks noChangeAspect="1"/>
            </wp:cNvGraphicFramePr>
            <a:graphic>
              <a:graphicData uri="http://schemas.openxmlformats.org/drawingml/2006/picture">
                <pic:pic>
                  <pic:nvPicPr>
                    <pic:cNvPr id="0" name="diagrama_fluxo_dados.png"/>
                    <pic:cNvPicPr/>
                  </pic:nvPicPr>
                  <pic:blipFill>
                    <a:blip r:embed="rId10"/>
                    <a:stretch>
                      <a:fillRect/>
                    </a:stretch>
                  </pic:blipFill>
                  <pic:spPr>
                    <a:xfrm>
                      <a:off x="0" y="0"/>
                      <a:ext cx="5669280" cy="2814247"/>
                    </a:xfrm>
                    <a:prstGeom prst="rect"/>
                  </pic:spPr>
                </pic:pic>
              </a:graphicData>
            </a:graphic>
          </wp:inline>
        </w:drawing>
      </w:r>
    </w:p>
    <w:p>
      <w:pPr>
        <w:spacing w:before="0" w:after="240"/>
        <w:jc w:val="center"/>
      </w:pPr>
      <w:r>
        <w:rPr>
          <w:b/>
          <w:color w:val="475569"/>
          <w:sz w:val="19"/>
        </w:rPr>
        <w:t>Figura 2 – Fluxograma das etapas de processamento do pipeline ETL (Ingestão, Tratamento, Análise e Consumo). Fonte: Autores (2026).</w:t>
      </w:r>
    </w:p>
    <w:p>
      <w:pPr>
        <w:keepNext/>
        <w:spacing w:before="240" w:after="80"/>
        <w:jc w:val="left"/>
      </w:pPr>
      <w:r>
        <w:rPr>
          <w:rFonts w:ascii="Calibri" w:hAnsi="Calibri"/>
          <w:b/>
          <w:color w:val="1E3A8A"/>
          <w:sz w:val="24"/>
        </w:rPr>
        <w:t>3.3 Tratamento, Padronização e Limpeza de Dados</w:t>
      </w:r>
    </w:p>
    <w:p>
      <w:pPr>
        <w:spacing w:line="288" w:lineRule="auto" w:after="120"/>
        <w:jc w:val="both"/>
      </w:pPr>
      <w:r>
        <w:rPr>
          <w:i w:val="0"/>
          <w:color w:val="1E293B"/>
          <w:sz w:val="22"/>
        </w:rPr>
        <w:t>A etapa de engenharia de dados (scripts/tratamento.py) aplica rotinas automatizadas rigorosas para garantir a qualidade analítica da base:</w:t>
      </w:r>
    </w:p>
    <w:p>
      <w:pPr>
        <w:pStyle w:val="ListBullet"/>
        <w:spacing w:line="276" w:lineRule="auto" w:after="60"/>
        <w:jc w:val="both"/>
      </w:pPr>
      <w:r>
        <w:rPr>
          <w:b/>
          <w:sz w:val="21"/>
        </w:rPr>
        <w:t xml:space="preserve">1. Esquema e Metadados: </w:t>
      </w:r>
      <w:r>
        <w:rPr>
          <w:color w:val="1E293B"/>
          <w:sz w:val="21"/>
        </w:rPr>
        <w:t>Normalização de esquemas de colunas para letras minúsculas sem espaços, convertendo aliases heterogêneos (ex.: 'lat' e 'long' para 'latitude' e 'longitude');</w:t>
      </w:r>
    </w:p>
    <w:p>
      <w:pPr>
        <w:pStyle w:val="ListBullet"/>
        <w:spacing w:line="276" w:lineRule="auto" w:after="60"/>
        <w:jc w:val="both"/>
      </w:pPr>
      <w:r>
        <w:rPr>
          <w:b/>
          <w:sz w:val="21"/>
        </w:rPr>
        <w:t xml:space="preserve">2. Normalização Temporal: </w:t>
      </w:r>
      <w:r>
        <w:rPr>
          <w:color w:val="1E293B"/>
          <w:sz w:val="21"/>
        </w:rPr>
        <w:t>Tratamento de strings temporais ('datahora', 'data_pas', 'data') e conversão padronizada para datetime64[ns] em padrão ISO-8601 (YYYY-MM-DD HH:MM:SS), permitindo indexação temporal e extração vetorial dos campos 'ano', 'mes' e 'dia';</w:t>
      </w:r>
    </w:p>
    <w:p>
      <w:pPr>
        <w:pStyle w:val="ListBullet"/>
        <w:spacing w:line="276" w:lineRule="auto" w:after="60"/>
        <w:jc w:val="both"/>
      </w:pPr>
      <w:r>
        <w:rPr>
          <w:b/>
          <w:sz w:val="21"/>
        </w:rPr>
        <w:t xml:space="preserve">3. Normalização Textual: </w:t>
      </w:r>
      <w:r>
        <w:rPr>
          <w:color w:val="1E293B"/>
          <w:sz w:val="21"/>
        </w:rPr>
        <w:t>Remoção de caracteres diacríticos (acentos gráficos, cedilhas) e padronização em ASCII maiúsculo nos atributos de 'estado', 'municipio' e 'bioma', prevenindo erros de agrupamento por divergência tipográfica (ex.: 'Óbidos' e 'OBIDOS');</w:t>
      </w:r>
    </w:p>
    <w:p>
      <w:pPr>
        <w:pStyle w:val="ListBullet"/>
        <w:spacing w:line="276" w:lineRule="auto" w:after="60"/>
        <w:jc w:val="both"/>
      </w:pPr>
      <w:r>
        <w:rPr>
          <w:b/>
          <w:sz w:val="21"/>
        </w:rPr>
        <w:t xml:space="preserve">4. Validação Espacial: </w:t>
      </w:r>
      <w:r>
        <w:rPr>
          <w:color w:val="1E293B"/>
          <w:sz w:val="21"/>
        </w:rPr>
        <w:t>Filtragem de valores nulos (NaN) e validação de limites geodésicos válidos: latitude [-90.0, 90.0] e longitude [-180.0, 180.0] com sistema de referência de coordenadas EPSG:4326 (WGS84);</w:t>
      </w:r>
    </w:p>
    <w:p>
      <w:pPr>
        <w:pStyle w:val="ListBullet"/>
        <w:spacing w:line="276" w:lineRule="auto" w:after="60"/>
        <w:jc w:val="both"/>
      </w:pPr>
      <w:r>
        <w:rPr>
          <w:b/>
          <w:sz w:val="21"/>
        </w:rPr>
        <w:t xml:space="preserve">5. Desduplicação e Persistência: </w:t>
      </w:r>
      <w:r>
        <w:rPr>
          <w:color w:val="1E293B"/>
          <w:sz w:val="21"/>
        </w:rPr>
        <w:t>Eliminação de duplicidades decorrentes de reprocessamento e salvamento de snapshots consolidados em formato CSV otimizado ('dados/tratado/queimadas_tratado.csv').</w:t>
      </w:r>
    </w:p>
    <w:p>
      <w:pPr>
        <w:keepNext/>
        <w:spacing w:before="240" w:after="80"/>
        <w:jc w:val="left"/>
      </w:pPr>
      <w:r>
        <w:rPr>
          <w:rFonts w:ascii="Calibri" w:hAnsi="Calibri"/>
          <w:b/>
          <w:color w:val="1E3A8A"/>
          <w:sz w:val="24"/>
        </w:rPr>
        <w:t>3.4 Modelagem Estatística e Formulações Matemáticas</w:t>
      </w:r>
    </w:p>
    <w:p>
      <w:pPr>
        <w:spacing w:line="288" w:lineRule="auto" w:after="120"/>
        <w:jc w:val="both"/>
      </w:pPr>
      <w:r>
        <w:rPr>
          <w:i w:val="0"/>
          <w:color w:val="1E293B"/>
          <w:sz w:val="22"/>
        </w:rPr>
        <w:t>O motor analítico (scripts/analise.py) calcula métricas descritivas e índices percentuais fundamentais para avaliar tendências de fogo:</w:t>
      </w:r>
    </w:p>
    <w:p>
      <w:pPr>
        <w:spacing w:line="288" w:lineRule="auto" w:after="120"/>
        <w:jc w:val="both"/>
      </w:pPr>
      <w:r>
        <w:rPr>
          <w:b/>
          <w:color w:val="0F172A"/>
          <w:sz w:val="22"/>
        </w:rPr>
        <w:t xml:space="preserve">a) Variação Mensal (MoM): </w:t>
      </w:r>
      <w:r>
        <w:rPr>
          <w:i w:val="0"/>
          <w:color w:val="1E293B"/>
          <w:sz w:val="22"/>
        </w:rPr>
        <w:t>A variação percentual mês a mês (Month-over-Month - MoM) mensura a aceleração ou desaceleração dos focos entre meses consecutivos:</w:t>
      </w:r>
    </w:p>
    <w:p>
      <w:pPr>
        <w:spacing w:line="288" w:lineRule="auto" w:after="120"/>
        <w:jc w:val="both"/>
      </w:pPr>
      <w:r>
        <w:rPr>
          <w:i/>
          <w:color w:val="1E293B"/>
          <w:sz w:val="22"/>
        </w:rPr>
        <w:t>ΔMoM(m, a) = [ ( Focos(m, a) - Focos(m-1, a) ) / Focos(m-1, a) ] × 100</w:t>
      </w:r>
    </w:p>
    <w:p>
      <w:pPr>
        <w:spacing w:line="288" w:lineRule="auto" w:after="120"/>
        <w:jc w:val="both"/>
      </w:pPr>
      <w:r>
        <w:rPr>
          <w:b/>
          <w:color w:val="0F172A"/>
          <w:sz w:val="22"/>
        </w:rPr>
        <w:t xml:space="preserve">b) Variação Interanual (YoY): </w:t>
      </w:r>
      <w:r>
        <w:rPr>
          <w:i w:val="0"/>
          <w:color w:val="1E293B"/>
          <w:sz w:val="22"/>
        </w:rPr>
        <w:t>A variação anual (Year-over-Year - YoY) compara o total de focos em determinado período com o mesmo intervalo no ano imediatamente anterior:</w:t>
      </w:r>
    </w:p>
    <w:p>
      <w:pPr>
        <w:spacing w:line="288" w:lineRule="auto" w:after="120"/>
        <w:jc w:val="both"/>
      </w:pPr>
      <w:r>
        <w:rPr>
          <w:i/>
          <w:color w:val="1E293B"/>
          <w:sz w:val="22"/>
        </w:rPr>
        <w:t>ΔYoY(a) = [ ( FocosTotal(a) - FocosTotal(a-1) ) / FocosTotal(a-1) ] × 100</w:t>
      </w:r>
    </w:p>
    <w:p>
      <w:pPr>
        <w:spacing w:line="288" w:lineRule="auto" w:after="120"/>
        <w:jc w:val="both"/>
      </w:pPr>
      <w:r>
        <w:rPr>
          <w:b/>
          <w:color w:val="0F172A"/>
          <w:sz w:val="22"/>
        </w:rPr>
        <w:t xml:space="preserve">c) Índice de Representatividade Estadual: </w:t>
      </w:r>
      <w:r>
        <w:rPr>
          <w:i w:val="0"/>
          <w:color w:val="1E293B"/>
          <w:sz w:val="22"/>
        </w:rPr>
        <w:t>O Índice de Representatividade Municipal (R_mun) quantifica o percentual de participação de um dado município em relação ao total estadual de focos detectados:</w:t>
      </w:r>
    </w:p>
    <w:p>
      <w:pPr>
        <w:spacing w:line="288" w:lineRule="auto" w:after="120"/>
        <w:jc w:val="both"/>
      </w:pPr>
      <w:r>
        <w:rPr>
          <w:i/>
          <w:color w:val="1E293B"/>
          <w:sz w:val="22"/>
        </w:rPr>
        <w:t>R_mun(a) = [ Focos_mun(a) / Focos_estado(a) ] × 100</w:t>
      </w:r>
    </w:p>
    <w:p>
      <w:pPr>
        <w:spacing w:line="288" w:lineRule="auto" w:after="120"/>
        <w:jc w:val="both"/>
      </w:pPr>
      <w:r>
        <w:rPr>
          <w:i w:val="0"/>
          <w:color w:val="1E293B"/>
          <w:sz w:val="22"/>
        </w:rPr>
        <w:t>O pipeline classifica automaticamente variações com ΔMoM &gt; +30% como 'surtos de queimadas' e ΔMoM &lt; -30% como 'quedas expressivas', gerando relatórios de alerta para as equipes de monitoramento.</w:t>
      </w:r>
    </w:p>
    <w:p>
      <w:pPr>
        <w:keepNext/>
        <w:spacing w:before="240" w:after="80"/>
        <w:jc w:val="left"/>
      </w:pPr>
      <w:r>
        <w:rPr>
          <w:rFonts w:ascii="Calibri" w:hAnsi="Calibri"/>
          <w:b/>
          <w:color w:val="1E3A8A"/>
          <w:sz w:val="24"/>
        </w:rPr>
        <w:t>3.5 Stack Tecnológico</w:t>
      </w:r>
    </w:p>
    <w:p>
      <w:pPr>
        <w:spacing w:line="288" w:lineRule="auto" w:after="120"/>
        <w:jc w:val="both"/>
      </w:pPr>
      <w:r>
        <w:rPr>
          <w:i w:val="0"/>
          <w:color w:val="1E293B"/>
          <w:sz w:val="22"/>
        </w:rPr>
        <w:t>O projeto foi implementado inteiramente em Python 3.12, utilizando bibliotecas de código aberto amplamente consolidadas:</w:t>
      </w:r>
    </w:p>
    <w:p>
      <w:pPr>
        <w:pStyle w:val="ListBullet"/>
        <w:spacing w:line="276" w:lineRule="auto" w:after="60"/>
        <w:jc w:val="both"/>
      </w:pPr>
      <w:r>
        <w:rPr>
          <w:b/>
          <w:sz w:val="21"/>
        </w:rPr>
        <w:t xml:space="preserve">• Pandas e NumPy: </w:t>
      </w:r>
      <w:r>
        <w:rPr>
          <w:color w:val="1E293B"/>
          <w:sz w:val="21"/>
        </w:rPr>
        <w:t>Engine de processamento vetorial e estatístico de alta performance para operações de agrupamento, filtros e transformações;</w:t>
      </w:r>
    </w:p>
    <w:p>
      <w:pPr>
        <w:pStyle w:val="ListBullet"/>
        <w:spacing w:line="276" w:lineRule="auto" w:after="60"/>
        <w:jc w:val="both"/>
      </w:pPr>
      <w:r>
        <w:rPr>
          <w:b/>
          <w:sz w:val="21"/>
        </w:rPr>
        <w:t xml:space="preserve">• Streamlit: </w:t>
      </w:r>
      <w:r>
        <w:rPr>
          <w:color w:val="1E293B"/>
          <w:sz w:val="21"/>
        </w:rPr>
        <w:t>Framework para construção da interface gráfica web interativa reativa;</w:t>
      </w:r>
    </w:p>
    <w:p>
      <w:pPr>
        <w:pStyle w:val="ListBullet"/>
        <w:spacing w:line="276" w:lineRule="auto" w:after="60"/>
        <w:jc w:val="both"/>
      </w:pPr>
      <w:r>
        <w:rPr>
          <w:b/>
          <w:sz w:val="21"/>
        </w:rPr>
        <w:t xml:space="preserve">• Folium e Streamlit-Folium: </w:t>
      </w:r>
      <w:r>
        <w:rPr>
          <w:color w:val="1E293B"/>
          <w:sz w:val="21"/>
        </w:rPr>
        <w:t>Mapeamento geoespacial interativo com renderização de camadas Leaflet, mapas de calor (HeatMap plugin) e agrupamento de marcadores (MarkerCluster);</w:t>
      </w:r>
    </w:p>
    <w:p>
      <w:pPr>
        <w:pStyle w:val="ListBullet"/>
        <w:spacing w:line="276" w:lineRule="auto" w:after="60"/>
        <w:jc w:val="both"/>
      </w:pPr>
      <w:r>
        <w:rPr>
          <w:b/>
          <w:sz w:val="21"/>
        </w:rPr>
        <w:t xml:space="preserve">• Plotly e Altair: </w:t>
      </w:r>
      <w:r>
        <w:rPr>
          <w:color w:val="1E293B"/>
          <w:sz w:val="21"/>
        </w:rPr>
        <w:t>Visualização científica de séries temporais com range sliders interativos e rankings dinâmicos;</w:t>
      </w:r>
    </w:p>
    <w:p>
      <w:pPr>
        <w:pStyle w:val="ListBullet"/>
        <w:spacing w:line="276" w:lineRule="auto" w:after="60"/>
        <w:jc w:val="both"/>
      </w:pPr>
      <w:r>
        <w:rPr>
          <w:b/>
          <w:sz w:val="21"/>
        </w:rPr>
        <w:t xml:space="preserve">• Matplotlib e Seaborn: </w:t>
      </w:r>
      <w:r>
        <w:rPr>
          <w:color w:val="1E293B"/>
          <w:sz w:val="21"/>
        </w:rPr>
        <w:t>Geração de gráficos em formato raster de alta densidade (300 DPI) para relatórios impressos;</w:t>
      </w:r>
    </w:p>
    <w:p>
      <w:pPr>
        <w:pStyle w:val="ListBullet"/>
        <w:spacing w:line="276" w:lineRule="auto" w:after="60"/>
        <w:jc w:val="both"/>
      </w:pPr>
      <w:r>
        <w:rPr>
          <w:b/>
          <w:sz w:val="21"/>
        </w:rPr>
        <w:t xml:space="preserve">• ReportLab: </w:t>
      </w:r>
      <w:r>
        <w:rPr>
          <w:color w:val="1E293B"/>
          <w:sz w:val="21"/>
        </w:rPr>
        <w:t>Engine de renderização de documentos técnicos padronizados em PDF A4 com papel timbrado e metadados governamentais;</w:t>
      </w:r>
    </w:p>
    <w:p>
      <w:pPr>
        <w:pStyle w:val="ListBullet"/>
        <w:spacing w:line="276" w:lineRule="auto" w:after="60"/>
        <w:jc w:val="both"/>
      </w:pPr>
      <w:r>
        <w:rPr>
          <w:b/>
          <w:sz w:val="21"/>
        </w:rPr>
        <w:t xml:space="preserve">• GeoPandas e Shapely: </w:t>
      </w:r>
      <w:r>
        <w:rPr>
          <w:color w:val="1E293B"/>
          <w:sz w:val="21"/>
        </w:rPr>
        <w:t>Manipulação de estruturas de dados vetoriais geográficas e exportação para formatos OGC (GeoJSON e Shapefile).</w:t>
      </w:r>
    </w:p>
    <w:p>
      <w:pPr>
        <w:keepNext/>
        <w:spacing w:before="320" w:after="120"/>
        <w:jc w:val="left"/>
      </w:pPr>
      <w:r>
        <w:rPr>
          <w:rFonts w:ascii="Calibri" w:hAnsi="Calibri"/>
          <w:b/>
          <w:color w:val="0F172A"/>
          <w:sz w:val="28"/>
        </w:rPr>
        <w:t>4. Desenvolvimento e Implementação da Plataforma</w:t>
      </w:r>
    </w:p>
    <w:p>
      <w:pPr>
        <w:keepNext/>
        <w:spacing w:before="240" w:after="80"/>
        <w:jc w:val="left"/>
      </w:pPr>
      <w:r>
        <w:rPr>
          <w:rFonts w:ascii="Calibri" w:hAnsi="Calibri"/>
          <w:b/>
          <w:color w:val="1E3A8A"/>
          <w:sz w:val="24"/>
        </w:rPr>
        <w:t>4.1 Painel Executivo e Design System</w:t>
      </w:r>
    </w:p>
    <w:p>
      <w:pPr>
        <w:spacing w:line="288" w:lineRule="auto" w:after="120"/>
        <w:jc w:val="both"/>
      </w:pPr>
      <w:r>
        <w:rPr>
          <w:i w:val="0"/>
          <w:color w:val="1E293B"/>
          <w:sz w:val="22"/>
        </w:rPr>
        <w:t>O dashboard (dashboard/app.py) foi projetado segundo diretrizes modernas de UI/UX, incorporando a tipografia Plus Jakarta Sans, gradientes de cor dinâmicos, glassmorphism e cards de métricas responsivos. Na barra lateral (Sidebar), o usuário dispõe de seletores encadeados para Estado, Município e Ano de Referência, além de controles de limpeza de cache.</w:t>
      </w:r>
    </w:p>
    <w:p>
      <w:pPr>
        <w:spacing w:line="288" w:lineRule="auto" w:after="120"/>
        <w:jc w:val="both"/>
      </w:pPr>
      <w:r>
        <w:rPr>
          <w:i w:val="0"/>
          <w:color w:val="1E293B"/>
          <w:sz w:val="22"/>
        </w:rPr>
        <w:t>A Figura 3 apresenta a visão geral do painel, destacando o Hero Banner com badge de risco (Classificado automaticamente em Risco Controlado, Moderado, Elevado ou Crítico), os quatro cards executivos (Total de Focos com variação YoY, Pico Sazonal com identificação do mês crítico, Participação Estadual (%) e Média Mensal), o gráfico de barras mensais e o manômetro circular de risco.</w:t>
      </w:r>
    </w:p>
    <w:p>
      <w:pPr>
        <w:keepNext/>
        <w:spacing w:before="200" w:after="80"/>
        <w:jc w:val="center"/>
      </w:pPr>
      <w:r>
        <w:drawing>
          <wp:inline xmlns:a="http://schemas.openxmlformats.org/drawingml/2006/main" xmlns:pic="http://schemas.openxmlformats.org/drawingml/2006/picture">
            <wp:extent cx="5669280" cy="3897630"/>
            <wp:docPr id="3" name="Picture 3"/>
            <wp:cNvGraphicFramePr>
              <a:graphicFrameLocks noChangeAspect="1"/>
            </wp:cNvGraphicFramePr>
            <a:graphic>
              <a:graphicData uri="http://schemas.openxmlformats.org/drawingml/2006/picture">
                <pic:pic>
                  <pic:nvPicPr>
                    <pic:cNvPr id="0" name="dashboard_01_visao_geral.png"/>
                    <pic:cNvPicPr/>
                  </pic:nvPicPr>
                  <pic:blipFill>
                    <a:blip r:embed="rId11"/>
                    <a:stretch>
                      <a:fillRect/>
                    </a:stretch>
                  </pic:blipFill>
                  <pic:spPr>
                    <a:xfrm>
                      <a:off x="0" y="0"/>
                      <a:ext cx="5669280" cy="3897630"/>
                    </a:xfrm>
                    <a:prstGeom prst="rect"/>
                  </pic:spPr>
                </pic:pic>
              </a:graphicData>
            </a:graphic>
          </wp:inline>
        </w:drawing>
      </w:r>
    </w:p>
    <w:p>
      <w:pPr>
        <w:spacing w:before="0" w:after="240"/>
        <w:jc w:val="center"/>
      </w:pPr>
      <w:r>
        <w:rPr>
          <w:b/>
          <w:color w:val="475569"/>
          <w:sz w:val="19"/>
        </w:rPr>
        <w:t>Figura 3 – Tela principal do Dashboard do Projeto Queimadas Pro (Aba 'Visão Geral &amp; KPIs'), exibindo cards executivos com glassmorphism, indicador de risco e distribuição mensal. Fonte: Captura da aplicação pelos autores (2026).</w:t>
      </w:r>
    </w:p>
    <w:p>
      <w:pPr>
        <w:keepNext/>
        <w:spacing w:before="240" w:after="80"/>
        <w:jc w:val="left"/>
      </w:pPr>
      <w:r>
        <w:rPr>
          <w:rFonts w:ascii="Calibri" w:hAnsi="Calibri"/>
          <w:b/>
          <w:color w:val="1E3A8A"/>
          <w:sz w:val="24"/>
        </w:rPr>
        <w:t>4.2 Módulo de Análise Temporal e Sazonalidade Interanual</w:t>
      </w:r>
    </w:p>
    <w:p>
      <w:pPr>
        <w:spacing w:line="288" w:lineRule="auto" w:after="120"/>
        <w:jc w:val="both"/>
      </w:pPr>
      <w:r>
        <w:rPr>
          <w:i w:val="0"/>
          <w:color w:val="1E293B"/>
          <w:sz w:val="22"/>
        </w:rPr>
        <w:t>A segunda aba da plataforma (Figura 4) disponibiliza análises temporais com dois modos de visualização: (1) Série Multianual Completa com gráfico de área e range slider interativo; e (2) Comparativo de Sazonalidade Mês a Mês entre todos os anos da base histórica (2020 a 2024). Essa funcionalidade permite identificar com precisão o adiantamento ou atraso do início do período crítico de queimadas em decorrência de anomalias climáticas como o El Niño.</w:t>
      </w:r>
    </w:p>
    <w:p>
      <w:pPr>
        <w:keepNext/>
        <w:spacing w:before="200" w:after="80"/>
        <w:jc w:val="center"/>
      </w:pPr>
      <w:r>
        <w:drawing>
          <wp:inline xmlns:a="http://schemas.openxmlformats.org/drawingml/2006/main" xmlns:pic="http://schemas.openxmlformats.org/drawingml/2006/picture">
            <wp:extent cx="5669280" cy="3897630"/>
            <wp:docPr id="4" name="Picture 4"/>
            <wp:cNvGraphicFramePr>
              <a:graphicFrameLocks noChangeAspect="1"/>
            </wp:cNvGraphicFramePr>
            <a:graphic>
              <a:graphicData uri="http://schemas.openxmlformats.org/drawingml/2006/picture">
                <pic:pic>
                  <pic:nvPicPr>
                    <pic:cNvPr id="0" name="dashboard_02_temporal.png"/>
                    <pic:cNvPicPr/>
                  </pic:nvPicPr>
                  <pic:blipFill>
                    <a:blip r:embed="rId12"/>
                    <a:stretch>
                      <a:fillRect/>
                    </a:stretch>
                  </pic:blipFill>
                  <pic:spPr>
                    <a:xfrm>
                      <a:off x="0" y="0"/>
                      <a:ext cx="5669280" cy="3897630"/>
                    </a:xfrm>
                    <a:prstGeom prst="rect"/>
                  </pic:spPr>
                </pic:pic>
              </a:graphicData>
            </a:graphic>
          </wp:inline>
        </w:drawing>
      </w:r>
    </w:p>
    <w:p>
      <w:pPr>
        <w:spacing w:before="0" w:after="240"/>
        <w:jc w:val="center"/>
      </w:pPr>
      <w:r>
        <w:rPr>
          <w:b/>
          <w:color w:val="475569"/>
          <w:sz w:val="19"/>
        </w:rPr>
        <w:t>Figura 4 – Módulo de Análise Temporal e Sazonalidade Interanual com controle de range slider e comparativo multianual mês a mês. Fonte: Captura da aplicação pelos autores (2026).</w:t>
      </w:r>
    </w:p>
    <w:p>
      <w:pPr>
        <w:keepNext/>
        <w:spacing w:before="240" w:after="80"/>
        <w:jc w:val="left"/>
      </w:pPr>
      <w:r>
        <w:rPr>
          <w:rFonts w:ascii="Calibri" w:hAnsi="Calibri"/>
          <w:b/>
          <w:color w:val="1E3A8A"/>
          <w:sz w:val="24"/>
        </w:rPr>
        <w:t>4.3 Módulo de GeoAnalytics e Mapeamento Espacial Interativo</w:t>
      </w:r>
    </w:p>
    <w:p>
      <w:pPr>
        <w:spacing w:line="288" w:lineRule="auto" w:after="120"/>
        <w:jc w:val="both"/>
      </w:pPr>
      <w:r>
        <w:rPr>
          <w:i w:val="0"/>
          <w:color w:val="1E293B"/>
          <w:sz w:val="22"/>
        </w:rPr>
        <w:t>A aba de GeoAnalytics (Figura 5) integra a biblioteca Folium para renderização espacial dos focos de calor com suporte a alternância dinâmica de camadas de fundo cartográfico (CartoDB Positron, OpenStreetMap e Satélite Esri World Imagery em alta resolução). O usuário pode alternar entre a visualização de Mapa de Calor Contínuo (Kernel Heatmap com gradiente térmico de 5 níveis) e Pontos Agrupados (MarkerCluster com popups interativos contendo data, município e coordenadas exatas).</w:t>
      </w:r>
    </w:p>
    <w:p>
      <w:pPr>
        <w:keepNext/>
        <w:spacing w:before="200" w:after="80"/>
        <w:jc w:val="center"/>
      </w:pPr>
      <w:r>
        <w:drawing>
          <wp:inline xmlns:a="http://schemas.openxmlformats.org/drawingml/2006/main" xmlns:pic="http://schemas.openxmlformats.org/drawingml/2006/picture">
            <wp:extent cx="5669280" cy="3897630"/>
            <wp:docPr id="5" name="Picture 5"/>
            <wp:cNvGraphicFramePr>
              <a:graphicFrameLocks noChangeAspect="1"/>
            </wp:cNvGraphicFramePr>
            <a:graphic>
              <a:graphicData uri="http://schemas.openxmlformats.org/drawingml/2006/picture">
                <pic:pic>
                  <pic:nvPicPr>
                    <pic:cNvPr id="0" name="dashboard_03_mapa.png"/>
                    <pic:cNvPicPr/>
                  </pic:nvPicPr>
                  <pic:blipFill>
                    <a:blip r:embed="rId13"/>
                    <a:stretch>
                      <a:fillRect/>
                    </a:stretch>
                  </pic:blipFill>
                  <pic:spPr>
                    <a:xfrm>
                      <a:off x="0" y="0"/>
                      <a:ext cx="5669280" cy="3897630"/>
                    </a:xfrm>
                    <a:prstGeom prst="rect"/>
                  </pic:spPr>
                </pic:pic>
              </a:graphicData>
            </a:graphic>
          </wp:inline>
        </w:drawing>
      </w:r>
    </w:p>
    <w:p>
      <w:pPr>
        <w:spacing w:before="0" w:after="240"/>
        <w:jc w:val="center"/>
      </w:pPr>
      <w:r>
        <w:rPr>
          <w:b/>
          <w:color w:val="475569"/>
          <w:sz w:val="19"/>
        </w:rPr>
        <w:t>Figura 5 – Módulo de GeoAnalytics e Mapeamento Interativo com camada de calor contínuo (HeatMap) e satélite de alta resolução sobre o município de Óbidos (PA). Fonte: Captura da aplicação pelos autores (2026).</w:t>
      </w:r>
    </w:p>
    <w:p>
      <w:pPr>
        <w:keepNext/>
        <w:spacing w:before="240" w:after="80"/>
        <w:jc w:val="left"/>
      </w:pPr>
      <w:r>
        <w:rPr>
          <w:rFonts w:ascii="Calibri" w:hAnsi="Calibri"/>
          <w:b/>
          <w:color w:val="1E3A8A"/>
          <w:sz w:val="24"/>
        </w:rPr>
        <w:t>4.4 Módulo de Rankings e Comparações Municipais</w:t>
      </w:r>
    </w:p>
    <w:p>
      <w:pPr>
        <w:spacing w:line="288" w:lineRule="auto" w:after="120"/>
        <w:jc w:val="both"/>
      </w:pPr>
      <w:r>
        <w:rPr>
          <w:i w:val="0"/>
          <w:color w:val="1E293B"/>
          <w:sz w:val="22"/>
        </w:rPr>
        <w:t>A quarta aba (Figura 6) gera em tempo real o ranking dos 10 municípios com maior número de queimadas no estado selecionado, acompanhado de uma barra horizontal colorimétrica em degradê térmico, tabela paginada com posição absoluta e card de destaque contextualizando a colocação e a representatividade do município consultado.</w:t>
      </w:r>
    </w:p>
    <w:p>
      <w:pPr>
        <w:keepNext/>
        <w:spacing w:before="200" w:after="80"/>
        <w:jc w:val="center"/>
      </w:pPr>
      <w:r>
        <w:drawing>
          <wp:inline xmlns:a="http://schemas.openxmlformats.org/drawingml/2006/main" xmlns:pic="http://schemas.openxmlformats.org/drawingml/2006/picture">
            <wp:extent cx="5669280" cy="3897630"/>
            <wp:docPr id="6" name="Picture 6"/>
            <wp:cNvGraphicFramePr>
              <a:graphicFrameLocks noChangeAspect="1"/>
            </wp:cNvGraphicFramePr>
            <a:graphic>
              <a:graphicData uri="http://schemas.openxmlformats.org/drawingml/2006/picture">
                <pic:pic>
                  <pic:nvPicPr>
                    <pic:cNvPr id="0" name="dashboard_04_ranking.png"/>
                    <pic:cNvPicPr/>
                  </pic:nvPicPr>
                  <pic:blipFill>
                    <a:blip r:embed="rId14"/>
                    <a:stretch>
                      <a:fillRect/>
                    </a:stretch>
                  </pic:blipFill>
                  <pic:spPr>
                    <a:xfrm>
                      <a:off x="0" y="0"/>
                      <a:ext cx="5669280" cy="3897630"/>
                    </a:xfrm>
                    <a:prstGeom prst="rect"/>
                  </pic:spPr>
                </pic:pic>
              </a:graphicData>
            </a:graphic>
          </wp:inline>
        </w:drawing>
      </w:r>
    </w:p>
    <w:p>
      <w:pPr>
        <w:spacing w:before="0" w:after="240"/>
        <w:jc w:val="center"/>
      </w:pPr>
      <w:r>
        <w:rPr>
          <w:b/>
          <w:color w:val="475569"/>
          <w:sz w:val="19"/>
        </w:rPr>
        <w:t>Figura 6 – Módulo de Ranking Estadual e Comparativo Municipal com destaque para o município selecionado e Top 10 do Pará. Fonte: Captura da aplicação pelos autores (2026).</w:t>
      </w:r>
    </w:p>
    <w:p>
      <w:pPr>
        <w:keepNext/>
        <w:spacing w:before="240" w:after="80"/>
        <w:jc w:val="left"/>
      </w:pPr>
      <w:r>
        <w:rPr>
          <w:rFonts w:ascii="Calibri" w:hAnsi="Calibri"/>
          <w:b/>
          <w:color w:val="1E3A8A"/>
          <w:sz w:val="24"/>
        </w:rPr>
        <w:t>4.5 Central de Exportação Interoperável e Dados Brutos</w:t>
      </w:r>
    </w:p>
    <w:p>
      <w:pPr>
        <w:spacing w:line="288" w:lineRule="auto" w:after="120"/>
        <w:jc w:val="both"/>
      </w:pPr>
      <w:r>
        <w:rPr>
          <w:i w:val="0"/>
          <w:color w:val="1E293B"/>
          <w:sz w:val="22"/>
        </w:rPr>
        <w:t>Para garantir a reprodutibilidade e a integração com outras ferramentas analíticas e de geoprocessamento, a quinta aba (Figura 7) disponibiliza a base de dados filtrada em formato tabular interativo e uma central de downloads com quatro formatos padronizados, descritos na Tabela 1.</w:t>
      </w:r>
    </w:p>
    <w:p>
      <w:pPr>
        <w:keepNext/>
        <w:spacing w:before="200" w:after="80"/>
        <w:jc w:val="center"/>
      </w:pPr>
      <w:r>
        <w:rPr>
          <w:b/>
          <w:color w:val="475569"/>
          <w:sz w:val="19"/>
        </w:rPr>
        <w:t>Tabela 1 – Formatos de exportação suportados pela plataforma e especificações técnicas de interoperabilidade. Fonte: Autores (2026).</w:t>
      </w:r>
    </w:p>
    <w:tbl>
      <w:tblPr>
        <w:tblW w:type="auto" w:w="0"/>
        <w:jc w:val="center"/>
        <w:tblLayout w:type="fixed"/>
        <w:tblLook w:firstColumn="1" w:firstRow="1" w:lastColumn="0" w:lastRow="0" w:noHBand="0" w:noVBand="1" w:val="04A0"/>
      </w:tblPr>
      <w:tblGrid>
        <w:gridCol w:w="2354"/>
        <w:gridCol w:w="2354"/>
        <w:gridCol w:w="2354"/>
        <w:gridCol w:w="2354"/>
      </w:tblGrid>
      <w:tr>
        <w:tc>
          <w:tcPr>
            <w:tcW w:type="dxa" w:w="1872"/>
            <w:shd w:fill="1E3A8A"/>
          </w:tcPr>
          <w:p>
            <w:pPr>
              <w:spacing w:before="80" w:after="80"/>
              <w:jc w:val="center"/>
            </w:pPr>
            <w:r>
              <w:rPr>
                <w:b/>
                <w:color w:val="FFFFFF"/>
                <w:sz w:val="19"/>
              </w:rPr>
              <w:t>Formato</w:t>
            </w:r>
          </w:p>
        </w:tc>
        <w:tc>
          <w:tcPr>
            <w:tcW w:type="dxa" w:w="1296"/>
            <w:shd w:fill="1E3A8A"/>
          </w:tcPr>
          <w:p>
            <w:pPr>
              <w:spacing w:before="80" w:after="80"/>
              <w:jc w:val="center"/>
            </w:pPr>
            <w:r>
              <w:rPr>
                <w:b/>
                <w:color w:val="FFFFFF"/>
                <w:sz w:val="19"/>
              </w:rPr>
              <w:t>Extensão</w:t>
            </w:r>
          </w:p>
        </w:tc>
        <w:tc>
          <w:tcPr>
            <w:tcW w:type="dxa" w:w="2592"/>
            <w:shd w:fill="1E3A8A"/>
          </w:tcPr>
          <w:p>
            <w:pPr>
              <w:spacing w:before="80" w:after="80"/>
              <w:jc w:val="center"/>
            </w:pPr>
            <w:r>
              <w:rPr>
                <w:b/>
                <w:color w:val="FFFFFF"/>
                <w:sz w:val="19"/>
              </w:rPr>
              <w:t>Padrão / Encoding</w:t>
            </w:r>
          </w:p>
        </w:tc>
        <w:tc>
          <w:tcPr>
            <w:tcW w:type="dxa" w:w="3168"/>
            <w:shd w:fill="1E3A8A"/>
          </w:tcPr>
          <w:p>
            <w:pPr>
              <w:spacing w:before="80" w:after="80"/>
              <w:jc w:val="center"/>
            </w:pPr>
            <w:r>
              <w:rPr>
                <w:b/>
                <w:color w:val="FFFFFF"/>
                <w:sz w:val="19"/>
              </w:rPr>
              <w:t>Público-Alvo e Aplicações Típicas</w:t>
            </w:r>
          </w:p>
        </w:tc>
      </w:tr>
      <w:tr>
        <w:tc>
          <w:tcPr>
            <w:tcW w:type="dxa" w:w="1872"/>
            <w:shd w:fill="FFFFFF"/>
          </w:tcPr>
          <w:p>
            <w:pPr>
              <w:spacing w:before="60" w:after="60"/>
              <w:jc w:val="center"/>
            </w:pPr>
            <w:r>
              <w:rPr>
                <w:b/>
                <w:color w:val="1E293B"/>
                <w:sz w:val="18"/>
              </w:rPr>
              <w:t>CSV Tabular</w:t>
            </w:r>
          </w:p>
        </w:tc>
        <w:tc>
          <w:tcPr>
            <w:tcW w:type="dxa" w:w="1296"/>
            <w:shd w:fill="FFFFFF"/>
          </w:tcPr>
          <w:p>
            <w:pPr>
              <w:spacing w:before="60" w:after="60"/>
              <w:jc w:val="left"/>
            </w:pPr>
            <w:r>
              <w:rPr>
                <w:color w:val="1E293B"/>
                <w:sz w:val="18"/>
              </w:rPr>
              <w:t>.csv</w:t>
            </w:r>
          </w:p>
        </w:tc>
        <w:tc>
          <w:tcPr>
            <w:tcW w:type="dxa" w:w="2592"/>
            <w:shd w:fill="FFFFFF"/>
          </w:tcPr>
          <w:p>
            <w:pPr>
              <w:spacing w:before="60" w:after="60"/>
              <w:jc w:val="center"/>
            </w:pPr>
            <w:r>
              <w:rPr>
                <w:color w:val="1E293B"/>
                <w:sz w:val="18"/>
              </w:rPr>
              <w:t>UTF-8 BOM (delimitador vírgula)</w:t>
            </w:r>
          </w:p>
        </w:tc>
        <w:tc>
          <w:tcPr>
            <w:tcW w:type="dxa" w:w="3168"/>
            <w:shd w:fill="FFFFFF"/>
          </w:tcPr>
          <w:p>
            <w:pPr>
              <w:spacing w:before="60" w:after="60"/>
              <w:jc w:val="center"/>
            </w:pPr>
            <w:r>
              <w:rPr>
                <w:color w:val="1E293B"/>
                <w:sz w:val="18"/>
              </w:rPr>
              <w:t>Softwares estatísticos (R, Python, Stata, SPSS) e importação rápida.</w:t>
            </w:r>
          </w:p>
        </w:tc>
      </w:tr>
      <w:tr>
        <w:tc>
          <w:tcPr>
            <w:tcW w:type="dxa" w:w="1872"/>
            <w:shd w:fill="F8FAFC"/>
          </w:tcPr>
          <w:p>
            <w:pPr>
              <w:spacing w:before="60" w:after="60"/>
              <w:jc w:val="center"/>
            </w:pPr>
            <w:r>
              <w:rPr>
                <w:color w:val="1E293B"/>
                <w:sz w:val="18"/>
              </w:rPr>
              <w:t>Planilha Excel</w:t>
            </w:r>
          </w:p>
        </w:tc>
        <w:tc>
          <w:tcPr>
            <w:tcW w:type="dxa" w:w="1296"/>
            <w:shd w:fill="F8FAFC"/>
          </w:tcPr>
          <w:p>
            <w:pPr>
              <w:spacing w:before="60" w:after="60"/>
              <w:jc w:val="left"/>
            </w:pPr>
            <w:r>
              <w:rPr>
                <w:color w:val="1E293B"/>
                <w:sz w:val="18"/>
              </w:rPr>
              <w:t>.xlsx</w:t>
            </w:r>
          </w:p>
        </w:tc>
        <w:tc>
          <w:tcPr>
            <w:tcW w:type="dxa" w:w="2592"/>
            <w:shd w:fill="F8FAFC"/>
          </w:tcPr>
          <w:p>
            <w:pPr>
              <w:spacing w:before="60" w:after="60"/>
              <w:jc w:val="center"/>
            </w:pPr>
            <w:r>
              <w:rPr>
                <w:color w:val="1E293B"/>
                <w:sz w:val="18"/>
              </w:rPr>
              <w:t>OpenPyXL (Abas múltiplas)</w:t>
            </w:r>
          </w:p>
        </w:tc>
        <w:tc>
          <w:tcPr>
            <w:tcW w:type="dxa" w:w="3168"/>
            <w:shd w:fill="F8FAFC"/>
          </w:tcPr>
          <w:p>
            <w:pPr>
              <w:spacing w:before="60" w:after="60"/>
              <w:jc w:val="center"/>
            </w:pPr>
            <w:r>
              <w:rPr>
                <w:color w:val="1E293B"/>
                <w:sz w:val="18"/>
              </w:rPr>
              <w:t>Analistas de negócios, gestores públicos e relatórios executivos.</w:t>
            </w:r>
          </w:p>
        </w:tc>
      </w:tr>
      <w:tr>
        <w:tc>
          <w:tcPr>
            <w:tcW w:type="dxa" w:w="1872"/>
            <w:shd w:fill="FFFFFF"/>
          </w:tcPr>
          <w:p>
            <w:pPr>
              <w:spacing w:before="60" w:after="60"/>
              <w:jc w:val="center"/>
            </w:pPr>
            <w:r>
              <w:rPr>
                <w:color w:val="1E293B"/>
                <w:sz w:val="18"/>
              </w:rPr>
              <w:t>GeoJSON OGC</w:t>
            </w:r>
          </w:p>
        </w:tc>
        <w:tc>
          <w:tcPr>
            <w:tcW w:type="dxa" w:w="1296"/>
            <w:shd w:fill="FFFFFF"/>
          </w:tcPr>
          <w:p>
            <w:pPr>
              <w:spacing w:before="60" w:after="60"/>
              <w:jc w:val="left"/>
            </w:pPr>
            <w:r>
              <w:rPr>
                <w:color w:val="1E293B"/>
                <w:sz w:val="18"/>
              </w:rPr>
              <w:t>.geojson</w:t>
            </w:r>
          </w:p>
        </w:tc>
        <w:tc>
          <w:tcPr>
            <w:tcW w:type="dxa" w:w="2592"/>
            <w:shd w:fill="FFFFFF"/>
          </w:tcPr>
          <w:p>
            <w:pPr>
              <w:spacing w:before="60" w:after="60"/>
              <w:jc w:val="center"/>
            </w:pPr>
            <w:r>
              <w:rPr>
                <w:color w:val="1E293B"/>
                <w:sz w:val="18"/>
              </w:rPr>
              <w:t>RFC 7946 (WGS84 EPSG:4326)</w:t>
            </w:r>
          </w:p>
        </w:tc>
        <w:tc>
          <w:tcPr>
            <w:tcW w:type="dxa" w:w="3168"/>
            <w:shd w:fill="FFFFFF"/>
          </w:tcPr>
          <w:p>
            <w:pPr>
              <w:spacing w:before="60" w:after="60"/>
              <w:jc w:val="center"/>
            </w:pPr>
            <w:r>
              <w:rPr>
                <w:color w:val="1E293B"/>
                <w:sz w:val="18"/>
              </w:rPr>
              <w:t>Aplicações WebGIS, Leaflet, Mapbox, Deck.gl e GeoPandas.</w:t>
            </w:r>
          </w:p>
        </w:tc>
      </w:tr>
      <w:tr>
        <w:tc>
          <w:tcPr>
            <w:tcW w:type="dxa" w:w="1872"/>
            <w:shd w:fill="F8FAFC"/>
          </w:tcPr>
          <w:p>
            <w:pPr>
              <w:spacing w:before="60" w:after="60"/>
              <w:jc w:val="center"/>
            </w:pPr>
            <w:r>
              <w:rPr>
                <w:color w:val="1E293B"/>
                <w:sz w:val="18"/>
              </w:rPr>
              <w:t>ESRI Shapefile</w:t>
            </w:r>
          </w:p>
        </w:tc>
        <w:tc>
          <w:tcPr>
            <w:tcW w:type="dxa" w:w="1296"/>
            <w:shd w:fill="F8FAFC"/>
          </w:tcPr>
          <w:p>
            <w:pPr>
              <w:spacing w:before="60" w:after="60"/>
              <w:jc w:val="left"/>
            </w:pPr>
            <w:r>
              <w:rPr>
                <w:color w:val="1E293B"/>
                <w:sz w:val="18"/>
              </w:rPr>
              <w:t>.zip (.shp, .shx, .dbf, .prj)</w:t>
            </w:r>
          </w:p>
        </w:tc>
        <w:tc>
          <w:tcPr>
            <w:tcW w:type="dxa" w:w="2592"/>
            <w:shd w:fill="F8FAFC"/>
          </w:tcPr>
          <w:p>
            <w:pPr>
              <w:spacing w:before="60" w:after="60"/>
              <w:jc w:val="center"/>
            </w:pPr>
            <w:r>
              <w:rPr>
                <w:color w:val="1E293B"/>
                <w:sz w:val="18"/>
              </w:rPr>
              <w:t>ESRI Shapefile Driver (EPSG:4326)</w:t>
            </w:r>
          </w:p>
        </w:tc>
        <w:tc>
          <w:tcPr>
            <w:tcW w:type="dxa" w:w="3168"/>
            <w:shd w:fill="F8FAFC"/>
          </w:tcPr>
          <w:p>
            <w:pPr>
              <w:spacing w:before="60" w:after="60"/>
              <w:jc w:val="center"/>
            </w:pPr>
            <w:r>
              <w:rPr>
                <w:color w:val="1E293B"/>
                <w:sz w:val="18"/>
              </w:rPr>
              <w:t>Sistemas de Informação Geográfica desktop (QGIS, ArcGIS Pro, Google Earth).</w:t>
            </w:r>
          </w:p>
        </w:tc>
      </w:tr>
    </w:tbl>
    <w:p>
      <w:pPr>
        <w:spacing w:before="0" w:after="160"/>
      </w:pPr>
    </w:p>
    <w:p>
      <w:pPr>
        <w:keepNext/>
        <w:spacing w:before="200" w:after="80"/>
        <w:jc w:val="center"/>
      </w:pPr>
      <w:r>
        <w:drawing>
          <wp:inline xmlns:a="http://schemas.openxmlformats.org/drawingml/2006/main" xmlns:pic="http://schemas.openxmlformats.org/drawingml/2006/picture">
            <wp:extent cx="5669280" cy="3897630"/>
            <wp:docPr id="7" name="Picture 7"/>
            <wp:cNvGraphicFramePr>
              <a:graphicFrameLocks noChangeAspect="1"/>
            </wp:cNvGraphicFramePr>
            <a:graphic>
              <a:graphicData uri="http://schemas.openxmlformats.org/drawingml/2006/picture">
                <pic:pic>
                  <pic:nvPicPr>
                    <pic:cNvPr id="0" name="dashboard_05_dados_sig.png"/>
                    <pic:cNvPicPr/>
                  </pic:nvPicPr>
                  <pic:blipFill>
                    <a:blip r:embed="rId15"/>
                    <a:stretch>
                      <a:fillRect/>
                    </a:stretch>
                  </pic:blipFill>
                  <pic:spPr>
                    <a:xfrm>
                      <a:off x="0" y="0"/>
                      <a:ext cx="5669280" cy="3897630"/>
                    </a:xfrm>
                    <a:prstGeom prst="rect"/>
                  </pic:spPr>
                </pic:pic>
              </a:graphicData>
            </a:graphic>
          </wp:inline>
        </w:drawing>
      </w:r>
    </w:p>
    <w:p>
      <w:pPr>
        <w:spacing w:before="0" w:after="240"/>
        <w:jc w:val="center"/>
      </w:pPr>
      <w:r>
        <w:rPr>
          <w:b/>
          <w:color w:val="475569"/>
          <w:sz w:val="19"/>
        </w:rPr>
        <w:t>Figura 7 – Central de Dados e Exportação Multiformato (Tabular e Geoespacial SIG). Fonte: Captura da aplicação pelos autores (2026).</w:t>
      </w:r>
    </w:p>
    <w:p>
      <w:pPr>
        <w:keepNext/>
        <w:spacing w:before="240" w:after="80"/>
        <w:jc w:val="left"/>
      </w:pPr>
      <w:r>
        <w:rPr>
          <w:rFonts w:ascii="Calibri" w:hAnsi="Calibri"/>
          <w:b/>
          <w:color w:val="1E3A8A"/>
          <w:sz w:val="24"/>
        </w:rPr>
        <w:t>4.6 Sistema de Geração de Relatórios Oficiais em PDF</w:t>
      </w:r>
    </w:p>
    <w:p>
      <w:pPr>
        <w:spacing w:line="288" w:lineRule="auto" w:after="120"/>
        <w:jc w:val="both"/>
      </w:pPr>
      <w:r>
        <w:rPr>
          <w:i w:val="0"/>
          <w:color w:val="1E293B"/>
          <w:sz w:val="22"/>
        </w:rPr>
        <w:t>A sexta aba (Figura 8) permite o download direto do Relatório Técnico Oficial compilado pelo motor ReportLab (scripts/relatorio.py). O documento inclui cabeçalho com brasão/logotipo, sumário executivo, metadados de geração, tabelas de distribuição sazonal, diagnósticos preventivos e os gráficos científicos de alta resolução gerados pelo pipeline.</w:t>
      </w:r>
    </w:p>
    <w:p>
      <w:pPr>
        <w:keepNext/>
        <w:spacing w:before="200" w:after="80"/>
        <w:jc w:val="center"/>
      </w:pPr>
      <w:r>
        <w:drawing>
          <wp:inline xmlns:a="http://schemas.openxmlformats.org/drawingml/2006/main" xmlns:pic="http://schemas.openxmlformats.org/drawingml/2006/picture">
            <wp:extent cx="5669280" cy="3897630"/>
            <wp:docPr id="8" name="Picture 8"/>
            <wp:cNvGraphicFramePr>
              <a:graphicFrameLocks noChangeAspect="1"/>
            </wp:cNvGraphicFramePr>
            <a:graphic>
              <a:graphicData uri="http://schemas.openxmlformats.org/drawingml/2006/picture">
                <pic:pic>
                  <pic:nvPicPr>
                    <pic:cNvPr id="0" name="dashboard_06_relatorio.png"/>
                    <pic:cNvPicPr/>
                  </pic:nvPicPr>
                  <pic:blipFill>
                    <a:blip r:embed="rId16"/>
                    <a:stretch>
                      <a:fillRect/>
                    </a:stretch>
                  </pic:blipFill>
                  <pic:spPr>
                    <a:xfrm>
                      <a:off x="0" y="0"/>
                      <a:ext cx="5669280" cy="3897630"/>
                    </a:xfrm>
                    <a:prstGeom prst="rect"/>
                  </pic:spPr>
                </pic:pic>
              </a:graphicData>
            </a:graphic>
          </wp:inline>
        </w:drawing>
      </w:r>
    </w:p>
    <w:p>
      <w:pPr>
        <w:spacing w:before="0" w:after="240"/>
        <w:jc w:val="center"/>
      </w:pPr>
      <w:r>
        <w:rPr>
          <w:b/>
          <w:color w:val="475569"/>
          <w:sz w:val="19"/>
        </w:rPr>
        <w:t>Figura 8 – Módulo de Compilação e Download do Relatório Técnico Oficial em formato PDF A4. Fonte: Captura da aplicação pelos autores (2026).</w:t>
      </w:r>
    </w:p>
    <w:p>
      <w:pPr>
        <w:keepNext/>
        <w:spacing w:before="320" w:after="120"/>
        <w:jc w:val="left"/>
      </w:pPr>
      <w:r>
        <w:rPr>
          <w:rFonts w:ascii="Calibri" w:hAnsi="Calibri"/>
          <w:b/>
          <w:color w:val="0F172A"/>
          <w:sz w:val="28"/>
        </w:rPr>
        <w:t>5. Resultados Obtidos e Discussão</w:t>
      </w:r>
    </w:p>
    <w:p>
      <w:pPr>
        <w:keepNext/>
        <w:spacing w:before="240" w:after="80"/>
        <w:jc w:val="left"/>
      </w:pPr>
      <w:r>
        <w:rPr>
          <w:rFonts w:ascii="Calibri" w:hAnsi="Calibri"/>
          <w:b/>
          <w:color w:val="1E3A8A"/>
          <w:sz w:val="24"/>
        </w:rPr>
        <w:t>5.1 Análise Histórica e Temporal de Óbidos (2020 a 2024)</w:t>
      </w:r>
    </w:p>
    <w:p>
      <w:pPr>
        <w:spacing w:line="288" w:lineRule="auto" w:after="120"/>
        <w:jc w:val="both"/>
      </w:pPr>
      <w:r>
        <w:rPr>
          <w:i w:val="0"/>
          <w:color w:val="1E293B"/>
          <w:sz w:val="22"/>
        </w:rPr>
        <w:t>A aplicação do pipeline sobre a base histórica completa do Estado do Pará permitiu extrair métricas consolidadas sobre o comportamento das queimadas no município de Óbidos em relação ao panorama estadual. A Tabela 2 sintetiza os totais anuais de focos detectados, a representatividade relativa (%) e a variação anual (YoY) no período de 2020 a 2024.</w:t>
      </w:r>
    </w:p>
    <w:p>
      <w:pPr>
        <w:keepNext/>
        <w:spacing w:before="200" w:after="80"/>
        <w:jc w:val="center"/>
      </w:pPr>
      <w:r>
        <w:rPr>
          <w:b/>
          <w:color w:val="475569"/>
          <w:sz w:val="19"/>
        </w:rPr>
        <w:t>Tabela 2 – Resumo histórico de focos de queimadas detectados em Óbidos e no Estado do Pará (2020 a 2024). Fonte: Compilado pelos autores a partir de dados do INPE (2026).</w:t>
      </w:r>
    </w:p>
    <w:tbl>
      <w:tblPr>
        <w:tblW w:type="auto" w:w="0"/>
        <w:jc w:val="center"/>
        <w:tblLayout w:type="fixed"/>
        <w:tblLook w:firstColumn="1" w:firstRow="1" w:lastColumn="0" w:lastRow="0" w:noHBand="0" w:noVBand="1" w:val="04A0"/>
      </w:tblPr>
      <w:tblGrid>
        <w:gridCol w:w="1570"/>
        <w:gridCol w:w="1570"/>
        <w:gridCol w:w="1570"/>
        <w:gridCol w:w="1570"/>
        <w:gridCol w:w="1570"/>
        <w:gridCol w:w="1570"/>
      </w:tblGrid>
      <w:tr>
        <w:tc>
          <w:tcPr>
            <w:tcW w:type="dxa" w:w="1152"/>
            <w:shd w:fill="1E3A8A"/>
          </w:tcPr>
          <w:p>
            <w:pPr>
              <w:spacing w:before="80" w:after="80"/>
              <w:jc w:val="center"/>
            </w:pPr>
            <w:r>
              <w:rPr>
                <w:b/>
                <w:color w:val="FFFFFF"/>
                <w:sz w:val="19"/>
              </w:rPr>
              <w:t>Ano</w:t>
            </w:r>
          </w:p>
        </w:tc>
        <w:tc>
          <w:tcPr>
            <w:tcW w:type="dxa" w:w="1440"/>
            <w:shd w:fill="1E3A8A"/>
          </w:tcPr>
          <w:p>
            <w:pPr>
              <w:spacing w:before="80" w:after="80"/>
              <w:jc w:val="center"/>
            </w:pPr>
            <w:r>
              <w:rPr>
                <w:b/>
                <w:color w:val="FFFFFF"/>
                <w:sz w:val="19"/>
              </w:rPr>
              <w:t>Focos Óbidos</w:t>
            </w:r>
          </w:p>
        </w:tc>
        <w:tc>
          <w:tcPr>
            <w:tcW w:type="dxa" w:w="1872"/>
            <w:shd w:fill="1E3A8A"/>
          </w:tcPr>
          <w:p>
            <w:pPr>
              <w:spacing w:before="80" w:after="80"/>
              <w:jc w:val="center"/>
            </w:pPr>
            <w:r>
              <w:rPr>
                <w:b/>
                <w:color w:val="FFFFFF"/>
                <w:sz w:val="19"/>
              </w:rPr>
              <w:t>Variação YoY Óbidos (%)</w:t>
            </w:r>
          </w:p>
        </w:tc>
        <w:tc>
          <w:tcPr>
            <w:tcW w:type="dxa" w:w="1584"/>
            <w:shd w:fill="1E3A8A"/>
          </w:tcPr>
          <w:p>
            <w:pPr>
              <w:spacing w:before="80" w:after="80"/>
              <w:jc w:val="center"/>
            </w:pPr>
            <w:r>
              <w:rPr>
                <w:b/>
                <w:color w:val="FFFFFF"/>
                <w:sz w:val="19"/>
              </w:rPr>
              <w:t>Focos Pará (Total)</w:t>
            </w:r>
          </w:p>
        </w:tc>
        <w:tc>
          <w:tcPr>
            <w:tcW w:type="dxa" w:w="1728"/>
            <w:shd w:fill="1E3A8A"/>
          </w:tcPr>
          <w:p>
            <w:pPr>
              <w:spacing w:before="80" w:after="80"/>
              <w:jc w:val="center"/>
            </w:pPr>
            <w:r>
              <w:rPr>
                <w:b/>
                <w:color w:val="FFFFFF"/>
                <w:sz w:val="19"/>
              </w:rPr>
              <w:t>Variação YoY Pará (%)</w:t>
            </w:r>
          </w:p>
        </w:tc>
        <w:tc>
          <w:tcPr>
            <w:tcW w:type="dxa" w:w="1440"/>
            <w:shd w:fill="1E3A8A"/>
          </w:tcPr>
          <w:p>
            <w:pPr>
              <w:spacing w:before="80" w:after="80"/>
              <w:jc w:val="center"/>
            </w:pPr>
            <w:r>
              <w:rPr>
                <w:b/>
                <w:color w:val="FFFFFF"/>
                <w:sz w:val="19"/>
              </w:rPr>
              <w:t>Participação Óbidos (%)</w:t>
            </w:r>
          </w:p>
        </w:tc>
      </w:tr>
      <w:tr>
        <w:tc>
          <w:tcPr>
            <w:tcW w:type="dxa" w:w="1152"/>
            <w:shd w:fill="FFFFFF"/>
          </w:tcPr>
          <w:p>
            <w:pPr>
              <w:spacing w:before="60" w:after="60"/>
              <w:jc w:val="center"/>
            </w:pPr>
            <w:r>
              <w:rPr>
                <w:b/>
                <w:color w:val="1E293B"/>
                <w:sz w:val="18"/>
              </w:rPr>
              <w:t>2020</w:t>
            </w:r>
          </w:p>
        </w:tc>
        <w:tc>
          <w:tcPr>
            <w:tcW w:type="dxa" w:w="1440"/>
            <w:shd w:fill="FFFFFF"/>
          </w:tcPr>
          <w:p>
            <w:pPr>
              <w:spacing w:before="60" w:after="60"/>
              <w:jc w:val="left"/>
            </w:pPr>
            <w:r>
              <w:rPr>
                <w:color w:val="1E293B"/>
                <w:sz w:val="18"/>
              </w:rPr>
              <w:t>612</w:t>
            </w:r>
          </w:p>
        </w:tc>
        <w:tc>
          <w:tcPr>
            <w:tcW w:type="dxa" w:w="1872"/>
            <w:shd w:fill="FFFFFF"/>
          </w:tcPr>
          <w:p>
            <w:pPr>
              <w:spacing w:before="60" w:after="60"/>
              <w:jc w:val="center"/>
            </w:pPr>
            <w:r>
              <w:rPr>
                <w:color w:val="1E293B"/>
                <w:sz w:val="18"/>
              </w:rPr>
              <w:t>-</w:t>
            </w:r>
          </w:p>
        </w:tc>
        <w:tc>
          <w:tcPr>
            <w:tcW w:type="dxa" w:w="1584"/>
            <w:shd w:fill="FFFFFF"/>
          </w:tcPr>
          <w:p>
            <w:pPr>
              <w:spacing w:before="60" w:after="60"/>
              <w:jc w:val="center"/>
            </w:pPr>
            <w:r>
              <w:rPr>
                <w:color w:val="1E293B"/>
                <w:sz w:val="18"/>
              </w:rPr>
              <w:t>43.032</w:t>
            </w:r>
          </w:p>
        </w:tc>
        <w:tc>
          <w:tcPr>
            <w:tcW w:type="dxa" w:w="1728"/>
            <w:shd w:fill="FFFFFF"/>
          </w:tcPr>
          <w:p>
            <w:pPr>
              <w:spacing w:before="60" w:after="60"/>
              <w:jc w:val="center"/>
            </w:pPr>
            <w:r>
              <w:rPr>
                <w:color w:val="1E293B"/>
                <w:sz w:val="18"/>
              </w:rPr>
              <w:t>-</w:t>
            </w:r>
          </w:p>
        </w:tc>
        <w:tc>
          <w:tcPr>
            <w:tcW w:type="dxa" w:w="1440"/>
            <w:shd w:fill="FFFFFF"/>
          </w:tcPr>
          <w:p>
            <w:pPr>
              <w:spacing w:before="60" w:after="60"/>
              <w:jc w:val="center"/>
            </w:pPr>
            <w:r>
              <w:rPr>
                <w:color w:val="1E293B"/>
                <w:sz w:val="18"/>
              </w:rPr>
              <w:t>1,42%</w:t>
            </w:r>
          </w:p>
        </w:tc>
      </w:tr>
      <w:tr>
        <w:tc>
          <w:tcPr>
            <w:tcW w:type="dxa" w:w="1152"/>
            <w:shd w:fill="F8FAFC"/>
          </w:tcPr>
          <w:p>
            <w:pPr>
              <w:spacing w:before="60" w:after="60"/>
              <w:jc w:val="center"/>
            </w:pPr>
            <w:r>
              <w:rPr>
                <w:color w:val="1E293B"/>
                <w:sz w:val="18"/>
              </w:rPr>
              <w:t>2021</w:t>
            </w:r>
          </w:p>
        </w:tc>
        <w:tc>
          <w:tcPr>
            <w:tcW w:type="dxa" w:w="1440"/>
            <w:shd w:fill="F8FAFC"/>
          </w:tcPr>
          <w:p>
            <w:pPr>
              <w:spacing w:before="60" w:after="60"/>
              <w:jc w:val="left"/>
            </w:pPr>
            <w:r>
              <w:rPr>
                <w:color w:val="1E293B"/>
                <w:sz w:val="18"/>
              </w:rPr>
              <w:t>377</w:t>
            </w:r>
          </w:p>
        </w:tc>
        <w:tc>
          <w:tcPr>
            <w:tcW w:type="dxa" w:w="1872"/>
            <w:shd w:fill="F8FAFC"/>
          </w:tcPr>
          <w:p>
            <w:pPr>
              <w:spacing w:before="60" w:after="60"/>
              <w:jc w:val="center"/>
            </w:pPr>
            <w:r>
              <w:rPr>
                <w:color w:val="1E293B"/>
                <w:sz w:val="18"/>
              </w:rPr>
              <w:t>-38,40%</w:t>
            </w:r>
          </w:p>
        </w:tc>
        <w:tc>
          <w:tcPr>
            <w:tcW w:type="dxa" w:w="1584"/>
            <w:shd w:fill="F8FAFC"/>
          </w:tcPr>
          <w:p>
            <w:pPr>
              <w:spacing w:before="60" w:after="60"/>
              <w:jc w:val="center"/>
            </w:pPr>
            <w:r>
              <w:rPr>
                <w:color w:val="1E293B"/>
                <w:sz w:val="18"/>
              </w:rPr>
              <w:t>27.481</w:t>
            </w:r>
          </w:p>
        </w:tc>
        <w:tc>
          <w:tcPr>
            <w:tcW w:type="dxa" w:w="1728"/>
            <w:shd w:fill="F8FAFC"/>
          </w:tcPr>
          <w:p>
            <w:pPr>
              <w:spacing w:before="60" w:after="60"/>
              <w:jc w:val="center"/>
            </w:pPr>
            <w:r>
              <w:rPr>
                <w:color w:val="1E293B"/>
                <w:sz w:val="18"/>
              </w:rPr>
              <w:t>-36,14%</w:t>
            </w:r>
          </w:p>
        </w:tc>
        <w:tc>
          <w:tcPr>
            <w:tcW w:type="dxa" w:w="1440"/>
            <w:shd w:fill="F8FAFC"/>
          </w:tcPr>
          <w:p>
            <w:pPr>
              <w:spacing w:before="60" w:after="60"/>
              <w:jc w:val="center"/>
            </w:pPr>
            <w:r>
              <w:rPr>
                <w:color w:val="1E293B"/>
                <w:sz w:val="18"/>
              </w:rPr>
              <w:t>1,37%</w:t>
            </w:r>
          </w:p>
        </w:tc>
      </w:tr>
      <w:tr>
        <w:tc>
          <w:tcPr>
            <w:tcW w:type="dxa" w:w="1152"/>
            <w:shd w:fill="FFFFFF"/>
          </w:tcPr>
          <w:p>
            <w:pPr>
              <w:spacing w:before="60" w:after="60"/>
              <w:jc w:val="center"/>
            </w:pPr>
            <w:r>
              <w:rPr>
                <w:color w:val="1E293B"/>
                <w:sz w:val="18"/>
              </w:rPr>
              <w:t>2022</w:t>
            </w:r>
          </w:p>
        </w:tc>
        <w:tc>
          <w:tcPr>
            <w:tcW w:type="dxa" w:w="1440"/>
            <w:shd w:fill="FFFFFF"/>
          </w:tcPr>
          <w:p>
            <w:pPr>
              <w:spacing w:before="60" w:after="60"/>
              <w:jc w:val="left"/>
            </w:pPr>
            <w:r>
              <w:rPr>
                <w:color w:val="1E293B"/>
                <w:sz w:val="18"/>
              </w:rPr>
              <w:t>428</w:t>
            </w:r>
          </w:p>
        </w:tc>
        <w:tc>
          <w:tcPr>
            <w:tcW w:type="dxa" w:w="1872"/>
            <w:shd w:fill="FFFFFF"/>
          </w:tcPr>
          <w:p>
            <w:pPr>
              <w:spacing w:before="60" w:after="60"/>
              <w:jc w:val="center"/>
            </w:pPr>
            <w:r>
              <w:rPr>
                <w:color w:val="1E293B"/>
                <w:sz w:val="18"/>
              </w:rPr>
              <w:t>+13,53%</w:t>
            </w:r>
          </w:p>
        </w:tc>
        <w:tc>
          <w:tcPr>
            <w:tcW w:type="dxa" w:w="1584"/>
            <w:shd w:fill="FFFFFF"/>
          </w:tcPr>
          <w:p>
            <w:pPr>
              <w:spacing w:before="60" w:after="60"/>
              <w:jc w:val="center"/>
            </w:pPr>
            <w:r>
              <w:rPr>
                <w:color w:val="1E293B"/>
                <w:sz w:val="18"/>
              </w:rPr>
              <w:t>43.992</w:t>
            </w:r>
          </w:p>
        </w:tc>
        <w:tc>
          <w:tcPr>
            <w:tcW w:type="dxa" w:w="1728"/>
            <w:shd w:fill="FFFFFF"/>
          </w:tcPr>
          <w:p>
            <w:pPr>
              <w:spacing w:before="60" w:after="60"/>
              <w:jc w:val="center"/>
            </w:pPr>
            <w:r>
              <w:rPr>
                <w:color w:val="1E293B"/>
                <w:sz w:val="18"/>
              </w:rPr>
              <w:t>+60,08%</w:t>
            </w:r>
          </w:p>
        </w:tc>
        <w:tc>
          <w:tcPr>
            <w:tcW w:type="dxa" w:w="1440"/>
            <w:shd w:fill="FFFFFF"/>
          </w:tcPr>
          <w:p>
            <w:pPr>
              <w:spacing w:before="60" w:after="60"/>
              <w:jc w:val="center"/>
            </w:pPr>
            <w:r>
              <w:rPr>
                <w:color w:val="1E293B"/>
                <w:sz w:val="18"/>
              </w:rPr>
              <w:t>0,97%</w:t>
            </w:r>
          </w:p>
        </w:tc>
      </w:tr>
      <w:tr>
        <w:tc>
          <w:tcPr>
            <w:tcW w:type="dxa" w:w="1152"/>
            <w:shd w:fill="F8FAFC"/>
          </w:tcPr>
          <w:p>
            <w:pPr>
              <w:spacing w:before="60" w:after="60"/>
              <w:jc w:val="center"/>
            </w:pPr>
            <w:r>
              <w:rPr>
                <w:color w:val="1E293B"/>
                <w:sz w:val="18"/>
              </w:rPr>
              <w:t>2023</w:t>
            </w:r>
          </w:p>
        </w:tc>
        <w:tc>
          <w:tcPr>
            <w:tcW w:type="dxa" w:w="1440"/>
            <w:shd w:fill="F8FAFC"/>
          </w:tcPr>
          <w:p>
            <w:pPr>
              <w:spacing w:before="60" w:after="60"/>
              <w:jc w:val="left"/>
            </w:pPr>
            <w:r>
              <w:rPr>
                <w:color w:val="1E293B"/>
                <w:sz w:val="18"/>
              </w:rPr>
              <w:t>1.249</w:t>
            </w:r>
          </w:p>
        </w:tc>
        <w:tc>
          <w:tcPr>
            <w:tcW w:type="dxa" w:w="1872"/>
            <w:shd w:fill="F8FAFC"/>
          </w:tcPr>
          <w:p>
            <w:pPr>
              <w:spacing w:before="60" w:after="60"/>
              <w:jc w:val="center"/>
            </w:pPr>
            <w:r>
              <w:rPr>
                <w:color w:val="1E293B"/>
                <w:sz w:val="18"/>
              </w:rPr>
              <w:t>+191,82%</w:t>
            </w:r>
          </w:p>
        </w:tc>
        <w:tc>
          <w:tcPr>
            <w:tcW w:type="dxa" w:w="1584"/>
            <w:shd w:fill="F8FAFC"/>
          </w:tcPr>
          <w:p>
            <w:pPr>
              <w:spacing w:before="60" w:after="60"/>
              <w:jc w:val="center"/>
            </w:pPr>
            <w:r>
              <w:rPr>
                <w:color w:val="1E293B"/>
                <w:sz w:val="18"/>
              </w:rPr>
              <w:t>44.105</w:t>
            </w:r>
          </w:p>
        </w:tc>
        <w:tc>
          <w:tcPr>
            <w:tcW w:type="dxa" w:w="1728"/>
            <w:shd w:fill="F8FAFC"/>
          </w:tcPr>
          <w:p>
            <w:pPr>
              <w:spacing w:before="60" w:after="60"/>
              <w:jc w:val="center"/>
            </w:pPr>
            <w:r>
              <w:rPr>
                <w:color w:val="1E293B"/>
                <w:sz w:val="18"/>
              </w:rPr>
              <w:t>+0,26%</w:t>
            </w:r>
          </w:p>
        </w:tc>
        <w:tc>
          <w:tcPr>
            <w:tcW w:type="dxa" w:w="1440"/>
            <w:shd w:fill="F8FAFC"/>
          </w:tcPr>
          <w:p>
            <w:pPr>
              <w:spacing w:before="60" w:after="60"/>
              <w:jc w:val="center"/>
            </w:pPr>
            <w:r>
              <w:rPr>
                <w:color w:val="1E293B"/>
                <w:sz w:val="18"/>
              </w:rPr>
              <w:t>2,83%</w:t>
            </w:r>
          </w:p>
        </w:tc>
      </w:tr>
      <w:tr>
        <w:tc>
          <w:tcPr>
            <w:tcW w:type="dxa" w:w="1152"/>
            <w:shd w:fill="FFFFFF"/>
          </w:tcPr>
          <w:p>
            <w:pPr>
              <w:spacing w:before="60" w:after="60"/>
              <w:jc w:val="center"/>
            </w:pPr>
            <w:r>
              <w:rPr>
                <w:color w:val="1E293B"/>
                <w:sz w:val="18"/>
              </w:rPr>
              <w:t>2024</w:t>
            </w:r>
          </w:p>
        </w:tc>
        <w:tc>
          <w:tcPr>
            <w:tcW w:type="dxa" w:w="1440"/>
            <w:shd w:fill="FFFFFF"/>
          </w:tcPr>
          <w:p>
            <w:pPr>
              <w:spacing w:before="60" w:after="60"/>
              <w:jc w:val="left"/>
            </w:pPr>
            <w:r>
              <w:rPr>
                <w:color w:val="1E293B"/>
                <w:sz w:val="18"/>
              </w:rPr>
              <w:t>708</w:t>
            </w:r>
          </w:p>
        </w:tc>
        <w:tc>
          <w:tcPr>
            <w:tcW w:type="dxa" w:w="1872"/>
            <w:shd w:fill="FFFFFF"/>
          </w:tcPr>
          <w:p>
            <w:pPr>
              <w:spacing w:before="60" w:after="60"/>
              <w:jc w:val="center"/>
            </w:pPr>
            <w:r>
              <w:rPr>
                <w:color w:val="1E293B"/>
                <w:sz w:val="18"/>
              </w:rPr>
              <w:t>-43,31%</w:t>
            </w:r>
          </w:p>
        </w:tc>
        <w:tc>
          <w:tcPr>
            <w:tcW w:type="dxa" w:w="1584"/>
            <w:shd w:fill="FFFFFF"/>
          </w:tcPr>
          <w:p>
            <w:pPr>
              <w:spacing w:before="60" w:after="60"/>
              <w:jc w:val="center"/>
            </w:pPr>
            <w:r>
              <w:rPr>
                <w:color w:val="1E293B"/>
                <w:sz w:val="18"/>
              </w:rPr>
              <w:t>59.848</w:t>
            </w:r>
          </w:p>
        </w:tc>
        <w:tc>
          <w:tcPr>
            <w:tcW w:type="dxa" w:w="1728"/>
            <w:shd w:fill="FFFFFF"/>
          </w:tcPr>
          <w:p>
            <w:pPr>
              <w:spacing w:before="60" w:after="60"/>
              <w:jc w:val="center"/>
            </w:pPr>
            <w:r>
              <w:rPr>
                <w:color w:val="1E293B"/>
                <w:sz w:val="18"/>
              </w:rPr>
              <w:t>+35,70%</w:t>
            </w:r>
          </w:p>
        </w:tc>
        <w:tc>
          <w:tcPr>
            <w:tcW w:type="dxa" w:w="1440"/>
            <w:shd w:fill="FFFFFF"/>
          </w:tcPr>
          <w:p>
            <w:pPr>
              <w:spacing w:before="60" w:after="60"/>
              <w:jc w:val="center"/>
            </w:pPr>
            <w:r>
              <w:rPr>
                <w:color w:val="1E293B"/>
                <w:sz w:val="18"/>
              </w:rPr>
              <w:t>1,18%</w:t>
            </w:r>
          </w:p>
        </w:tc>
      </w:tr>
      <w:tr>
        <w:tc>
          <w:tcPr>
            <w:tcW w:type="dxa" w:w="1152"/>
            <w:shd w:fill="F8FAFC"/>
          </w:tcPr>
          <w:p>
            <w:pPr>
              <w:spacing w:before="60" w:after="60"/>
              <w:jc w:val="center"/>
            </w:pPr>
            <w:r>
              <w:rPr>
                <w:color w:val="1E293B"/>
                <w:sz w:val="18"/>
              </w:rPr>
              <w:t>Total / Média</w:t>
            </w:r>
          </w:p>
        </w:tc>
        <w:tc>
          <w:tcPr>
            <w:tcW w:type="dxa" w:w="1440"/>
            <w:shd w:fill="F8FAFC"/>
          </w:tcPr>
          <w:p>
            <w:pPr>
              <w:spacing w:before="60" w:after="60"/>
              <w:jc w:val="left"/>
            </w:pPr>
            <w:r>
              <w:rPr>
                <w:color w:val="1E293B"/>
                <w:sz w:val="18"/>
              </w:rPr>
              <w:t>3.374</w:t>
            </w:r>
          </w:p>
        </w:tc>
        <w:tc>
          <w:tcPr>
            <w:tcW w:type="dxa" w:w="1872"/>
            <w:shd w:fill="F8FAFC"/>
          </w:tcPr>
          <w:p>
            <w:pPr>
              <w:spacing w:before="60" w:after="60"/>
              <w:jc w:val="center"/>
            </w:pPr>
            <w:r>
              <w:rPr>
                <w:color w:val="1E293B"/>
                <w:sz w:val="18"/>
              </w:rPr>
              <w:t>Média: 674,8/ano</w:t>
            </w:r>
          </w:p>
        </w:tc>
        <w:tc>
          <w:tcPr>
            <w:tcW w:type="dxa" w:w="1584"/>
            <w:shd w:fill="F8FAFC"/>
          </w:tcPr>
          <w:p>
            <w:pPr>
              <w:spacing w:before="60" w:after="60"/>
              <w:jc w:val="center"/>
            </w:pPr>
            <w:r>
              <w:rPr>
                <w:color w:val="1E293B"/>
                <w:sz w:val="18"/>
              </w:rPr>
              <w:t>218.458</w:t>
            </w:r>
          </w:p>
        </w:tc>
        <w:tc>
          <w:tcPr>
            <w:tcW w:type="dxa" w:w="1728"/>
            <w:shd w:fill="F8FAFC"/>
          </w:tcPr>
          <w:p>
            <w:pPr>
              <w:spacing w:before="60" w:after="60"/>
              <w:jc w:val="center"/>
            </w:pPr>
            <w:r>
              <w:rPr>
                <w:color w:val="1E293B"/>
                <w:sz w:val="18"/>
              </w:rPr>
              <w:t>Média: 43.691/ano</w:t>
            </w:r>
          </w:p>
        </w:tc>
        <w:tc>
          <w:tcPr>
            <w:tcW w:type="dxa" w:w="1440"/>
            <w:shd w:fill="F8FAFC"/>
          </w:tcPr>
          <w:p>
            <w:pPr>
              <w:spacing w:before="60" w:after="60"/>
              <w:jc w:val="center"/>
            </w:pPr>
            <w:r>
              <w:rPr>
                <w:color w:val="1E293B"/>
                <w:sz w:val="18"/>
              </w:rPr>
              <w:t>1,54%</w:t>
            </w:r>
          </w:p>
        </w:tc>
      </w:tr>
    </w:tbl>
    <w:p>
      <w:pPr>
        <w:spacing w:before="0" w:after="160"/>
      </w:pPr>
    </w:p>
    <w:p>
      <w:pPr>
        <w:spacing w:line="288" w:lineRule="auto" w:after="120"/>
        <w:jc w:val="both"/>
      </w:pPr>
      <w:r>
        <w:rPr>
          <w:i w:val="0"/>
          <w:color w:val="1E293B"/>
          <w:sz w:val="22"/>
        </w:rPr>
        <w:t>Observa-se que o ano de 2023 registrou um pico extraordinário em Óbidos com 1.249 focos — um aumento expressivo de +191,82% em relação a 2022 —, elevando a representatividade do município para 2,83% de todas as queimadas do Pará. Esse evento atípico correlaciona-se com a severa seca provocada pela intensificação do fenômeno El Niño na bacia do Rio Amazonas em 2023, que comprometeu os níveis fluviais e aumentou a inflamabilidade da floresta primária e secundária na Calha Norte do Pará.</w:t>
      </w:r>
    </w:p>
    <w:p>
      <w:pPr>
        <w:spacing w:line="288" w:lineRule="auto" w:after="120"/>
        <w:jc w:val="both"/>
      </w:pPr>
      <w:r>
        <w:rPr>
          <w:i w:val="0"/>
          <w:color w:val="1E293B"/>
          <w:sz w:val="22"/>
        </w:rPr>
        <w:t>A Figura 9 ilustra os totais anuais de focos em Óbidos em comparação com a média histórica municipal (674,8 focos/ano).</w:t>
      </w:r>
    </w:p>
    <w:p>
      <w:pPr>
        <w:keepNext/>
        <w:spacing w:before="200" w:after="80"/>
        <w:jc w:val="center"/>
      </w:pPr>
      <w:r>
        <w:drawing>
          <wp:inline xmlns:a="http://schemas.openxmlformats.org/drawingml/2006/main" xmlns:pic="http://schemas.openxmlformats.org/drawingml/2006/picture">
            <wp:extent cx="5303520" cy="2624975"/>
            <wp:docPr id="9" name="Picture 9"/>
            <wp:cNvGraphicFramePr>
              <a:graphicFrameLocks noChangeAspect="1"/>
            </wp:cNvGraphicFramePr>
            <a:graphic>
              <a:graphicData uri="http://schemas.openxmlformats.org/drawingml/2006/picture">
                <pic:pic>
                  <pic:nvPicPr>
                    <pic:cNvPr id="0" name="obidos_anual.png"/>
                    <pic:cNvPicPr/>
                  </pic:nvPicPr>
                  <pic:blipFill>
                    <a:blip r:embed="rId17"/>
                    <a:stretch>
                      <a:fillRect/>
                    </a:stretch>
                  </pic:blipFill>
                  <pic:spPr>
                    <a:xfrm>
                      <a:off x="0" y="0"/>
                      <a:ext cx="5303520" cy="2624975"/>
                    </a:xfrm>
                    <a:prstGeom prst="rect"/>
                  </pic:spPr>
                </pic:pic>
              </a:graphicData>
            </a:graphic>
          </wp:inline>
        </w:drawing>
      </w:r>
    </w:p>
    <w:p>
      <w:pPr>
        <w:spacing w:before="0" w:after="240"/>
        <w:jc w:val="center"/>
      </w:pPr>
      <w:r>
        <w:rPr>
          <w:b/>
          <w:color w:val="475569"/>
          <w:sz w:val="19"/>
        </w:rPr>
        <w:t>Figura 9 – Totais anuais de focos de queimadas em Óbidos (PA) no período 2020–2024 e linha de média histórica. Fonte: Gerado pelo pipeline scripts/graficos.py (2026).</w:t>
      </w:r>
    </w:p>
    <w:p>
      <w:pPr>
        <w:spacing w:line="288" w:lineRule="auto" w:after="120"/>
        <w:jc w:val="both"/>
      </w:pPr>
      <w:r>
        <w:rPr>
          <w:i w:val="0"/>
          <w:color w:val="1E293B"/>
          <w:sz w:val="22"/>
        </w:rPr>
        <w:t>A série temporal completa (mês a mês) ao longo de todo o quinquênio 2020–2024 é apresentada na Figura 10, demonstrando a recorrência estrita dos picos de queima no segundo semestre de cada ano.</w:t>
      </w:r>
    </w:p>
    <w:p>
      <w:pPr>
        <w:keepNext/>
        <w:spacing w:before="200" w:after="80"/>
        <w:jc w:val="center"/>
      </w:pPr>
      <w:r>
        <w:drawing>
          <wp:inline xmlns:a="http://schemas.openxmlformats.org/drawingml/2006/main" xmlns:pic="http://schemas.openxmlformats.org/drawingml/2006/picture">
            <wp:extent cx="5486400" cy="2466363"/>
            <wp:docPr id="10" name="Picture 10"/>
            <wp:cNvGraphicFramePr>
              <a:graphicFrameLocks noChangeAspect="1"/>
            </wp:cNvGraphicFramePr>
            <a:graphic>
              <a:graphicData uri="http://schemas.openxmlformats.org/drawingml/2006/picture">
                <pic:pic>
                  <pic:nvPicPr>
                    <pic:cNvPr id="0" name="obidos_evolucao.png"/>
                    <pic:cNvPicPr/>
                  </pic:nvPicPr>
                  <pic:blipFill>
                    <a:blip r:embed="rId18"/>
                    <a:stretch>
                      <a:fillRect/>
                    </a:stretch>
                  </pic:blipFill>
                  <pic:spPr>
                    <a:xfrm>
                      <a:off x="0" y="0"/>
                      <a:ext cx="5486400" cy="2466363"/>
                    </a:xfrm>
                    <a:prstGeom prst="rect"/>
                  </pic:spPr>
                </pic:pic>
              </a:graphicData>
            </a:graphic>
          </wp:inline>
        </w:drawing>
      </w:r>
    </w:p>
    <w:p>
      <w:pPr>
        <w:spacing w:before="0" w:after="240"/>
        <w:jc w:val="center"/>
      </w:pPr>
      <w:r>
        <w:rPr>
          <w:b/>
          <w:color w:val="475569"/>
          <w:sz w:val="19"/>
        </w:rPr>
        <w:t>Figura 10 – Série temporal histórica contínua de focos de queimadas em Óbidos (PA) entre 2020 e 2024. Fonte: Gerado pelo pipeline scripts/graficos.py (2026).</w:t>
      </w:r>
    </w:p>
    <w:p>
      <w:pPr>
        <w:keepNext/>
        <w:spacing w:before="240" w:after="80"/>
        <w:jc w:val="left"/>
      </w:pPr>
      <w:r>
        <w:rPr>
          <w:rFonts w:ascii="Calibri" w:hAnsi="Calibri"/>
          <w:b/>
          <w:color w:val="1E3A8A"/>
          <w:sz w:val="24"/>
        </w:rPr>
        <w:t>5.2 Dinâmica Sazonal e Concentração no Período de Estiagem</w:t>
      </w:r>
    </w:p>
    <w:p>
      <w:pPr>
        <w:spacing w:line="288" w:lineRule="auto" w:after="120"/>
        <w:jc w:val="both"/>
      </w:pPr>
      <w:r>
        <w:rPr>
          <w:i w:val="0"/>
          <w:color w:val="1E293B"/>
          <w:sz w:val="22"/>
        </w:rPr>
        <w:t>A análise de sazonalidade revelou que o regime de queimadas em Óbidos e no Pará obedece a um padrão bimodal climático nítido:</w:t>
      </w:r>
    </w:p>
    <w:p>
      <w:pPr>
        <w:pStyle w:val="ListBullet"/>
        <w:spacing w:line="276" w:lineRule="auto" w:after="60"/>
        <w:jc w:val="both"/>
      </w:pPr>
      <w:r>
        <w:rPr>
          <w:b/>
          <w:sz w:val="21"/>
        </w:rPr>
        <w:t xml:space="preserve">• Período Úmido (Inverno Amazônico): </w:t>
      </w:r>
      <w:r>
        <w:rPr>
          <w:color w:val="1E293B"/>
          <w:sz w:val="21"/>
        </w:rPr>
        <w:t>Janeiro a Maio, caracterizado por chuvas intensas e focos residuais (menos de 2% do acumulado anual);</w:t>
      </w:r>
    </w:p>
    <w:p>
      <w:pPr>
        <w:pStyle w:val="ListBullet"/>
        <w:spacing w:line="276" w:lineRule="auto" w:after="60"/>
        <w:jc w:val="both"/>
      </w:pPr>
      <w:r>
        <w:rPr>
          <w:b/>
          <w:sz w:val="21"/>
        </w:rPr>
        <w:t xml:space="preserve">• Período de Transição: </w:t>
      </w:r>
      <w:r>
        <w:rPr>
          <w:color w:val="1E293B"/>
          <w:sz w:val="21"/>
        </w:rPr>
        <w:t>Junho e Julho, com início da redução das precipitações e crescimento gradual das queimas;</w:t>
      </w:r>
    </w:p>
    <w:p>
      <w:pPr>
        <w:pStyle w:val="ListBullet"/>
        <w:spacing w:line="276" w:lineRule="auto" w:after="60"/>
        <w:jc w:val="both"/>
      </w:pPr>
      <w:r>
        <w:rPr>
          <w:b/>
          <w:sz w:val="21"/>
        </w:rPr>
        <w:t xml:space="preserve">• Período Crítico de Seca (Estiagem): </w:t>
      </w:r>
      <w:r>
        <w:rPr>
          <w:color w:val="1E293B"/>
          <w:sz w:val="21"/>
        </w:rPr>
        <w:t>Agosto a Novembro, com ápice concentrado em Setembro, Outubro e Novembro, respondendo por mais de 83% do total de ocorrências.</w:t>
      </w:r>
    </w:p>
    <w:p>
      <w:pPr>
        <w:spacing w:line="288" w:lineRule="auto" w:after="120"/>
        <w:jc w:val="both"/>
      </w:pPr>
      <w:r>
        <w:rPr>
          <w:i w:val="0"/>
          <w:color w:val="1E293B"/>
          <w:sz w:val="22"/>
        </w:rPr>
        <w:t>O mapa de calor matricial da Figura 11 expressa a densidade mensal de focos em Óbidos ao longo dos anos, evidenciando que outubro de 2020 (218 focos), outubro de 2023 (617 focos) e novembro de 2023 (412 focos) foram os momentos mais críticos registrados.</w:t>
      </w:r>
    </w:p>
    <w:p>
      <w:pPr>
        <w:keepNext/>
        <w:spacing w:before="200" w:after="80"/>
        <w:jc w:val="center"/>
      </w:pPr>
      <w:r>
        <w:drawing>
          <wp:inline xmlns:a="http://schemas.openxmlformats.org/drawingml/2006/main" xmlns:pic="http://schemas.openxmlformats.org/drawingml/2006/picture">
            <wp:extent cx="5303520" cy="2141525"/>
            <wp:docPr id="11" name="Picture 11"/>
            <wp:cNvGraphicFramePr>
              <a:graphicFrameLocks noChangeAspect="1"/>
            </wp:cNvGraphicFramePr>
            <a:graphic>
              <a:graphicData uri="http://schemas.openxmlformats.org/drawingml/2006/picture">
                <pic:pic>
                  <pic:nvPicPr>
                    <pic:cNvPr id="0" name="obidos_heatmap.png"/>
                    <pic:cNvPicPr/>
                  </pic:nvPicPr>
                  <pic:blipFill>
                    <a:blip r:embed="rId19"/>
                    <a:stretch>
                      <a:fillRect/>
                    </a:stretch>
                  </pic:blipFill>
                  <pic:spPr>
                    <a:xfrm>
                      <a:off x="0" y="0"/>
                      <a:ext cx="5303520" cy="2141525"/>
                    </a:xfrm>
                    <a:prstGeom prst="rect"/>
                  </pic:spPr>
                </pic:pic>
              </a:graphicData>
            </a:graphic>
          </wp:inline>
        </w:drawing>
      </w:r>
    </w:p>
    <w:p>
      <w:pPr>
        <w:spacing w:before="0" w:after="240"/>
        <w:jc w:val="center"/>
      </w:pPr>
      <w:r>
        <w:rPr>
          <w:b/>
          <w:color w:val="475569"/>
          <w:sz w:val="19"/>
        </w:rPr>
        <w:t>Figura 11 – Mapa de calor matricial (Heatmap) da distribuição mensal de focos de queimadas em Óbidos (2020–2024). Fonte: Gerado pelo pipeline scripts/graficos.py (2026).</w:t>
      </w:r>
    </w:p>
    <w:p>
      <w:pPr>
        <w:spacing w:line="288" w:lineRule="auto" w:after="120"/>
        <w:jc w:val="both"/>
      </w:pPr>
      <w:r>
        <w:rPr>
          <w:i w:val="0"/>
          <w:color w:val="1E293B"/>
          <w:sz w:val="22"/>
        </w:rPr>
        <w:t>A Figura 12 apresenta a variação percentual mês a mês (MoM) em Óbidos para o ano de 2024, evidenciando a aceleração das queimadas no início do segundo semestre.</w:t>
      </w:r>
    </w:p>
    <w:p>
      <w:pPr>
        <w:keepNext/>
        <w:spacing w:before="200" w:after="80"/>
        <w:jc w:val="center"/>
      </w:pPr>
      <w:r>
        <w:drawing>
          <wp:inline xmlns:a="http://schemas.openxmlformats.org/drawingml/2006/main" xmlns:pic="http://schemas.openxmlformats.org/drawingml/2006/picture">
            <wp:extent cx="5303520" cy="2624975"/>
            <wp:docPr id="12" name="Picture 12"/>
            <wp:cNvGraphicFramePr>
              <a:graphicFrameLocks noChangeAspect="1"/>
            </wp:cNvGraphicFramePr>
            <a:graphic>
              <a:graphicData uri="http://schemas.openxmlformats.org/drawingml/2006/picture">
                <pic:pic>
                  <pic:nvPicPr>
                    <pic:cNvPr id="0" name="obidos_variacao_2024.png"/>
                    <pic:cNvPicPr/>
                  </pic:nvPicPr>
                  <pic:blipFill>
                    <a:blip r:embed="rId20"/>
                    <a:stretch>
                      <a:fillRect/>
                    </a:stretch>
                  </pic:blipFill>
                  <pic:spPr>
                    <a:xfrm>
                      <a:off x="0" y="0"/>
                      <a:ext cx="5303520" cy="2624975"/>
                    </a:xfrm>
                    <a:prstGeom prst="rect"/>
                  </pic:spPr>
                </pic:pic>
              </a:graphicData>
            </a:graphic>
          </wp:inline>
        </w:drawing>
      </w:r>
    </w:p>
    <w:p>
      <w:pPr>
        <w:spacing w:before="0" w:after="240"/>
        <w:jc w:val="center"/>
      </w:pPr>
      <w:r>
        <w:rPr>
          <w:b/>
          <w:color w:val="475569"/>
          <w:sz w:val="19"/>
        </w:rPr>
        <w:t>Figura 12 – Variação percentual mês a mês (MoM) de focos de queimadas em Óbidos no ano de 2024. Fonte: Gerado pelo pipeline scripts/graficos.py (2026).</w:t>
      </w:r>
    </w:p>
    <w:p>
      <w:pPr>
        <w:keepNext/>
        <w:spacing w:before="240" w:after="80"/>
        <w:jc w:val="left"/>
      </w:pPr>
      <w:r>
        <w:rPr>
          <w:rFonts w:ascii="Calibri" w:hAnsi="Calibri"/>
          <w:b/>
          <w:color w:val="1E3A8A"/>
          <w:sz w:val="24"/>
        </w:rPr>
        <w:t>5.3 Contexto Regional e Ranking Estadual no Pará</w:t>
      </w:r>
    </w:p>
    <w:p>
      <w:pPr>
        <w:spacing w:line="288" w:lineRule="auto" w:after="120"/>
        <w:jc w:val="both"/>
      </w:pPr>
      <w:r>
        <w:rPr>
          <w:i w:val="0"/>
          <w:color w:val="1E293B"/>
          <w:sz w:val="22"/>
        </w:rPr>
        <w:t>No panorama global do Estado do Pará (total de 144 municípios), a análise agregada de 2020 a 2024 revelou forte concentração espacial nos municípios do sudeste e sudoeste paraense (denominado Arco do Desmatamento). A Tabela 3 apresenta os 10 municípios líderes em ocorrências no quinquênio e a posição relativa de Óbidos.</w:t>
      </w:r>
    </w:p>
    <w:p>
      <w:pPr>
        <w:keepNext/>
        <w:spacing w:before="200" w:after="80"/>
        <w:jc w:val="center"/>
      </w:pPr>
      <w:r>
        <w:rPr>
          <w:b/>
          <w:color w:val="475569"/>
          <w:sz w:val="19"/>
        </w:rPr>
        <w:t>Tabela 3 – Ranking dos 10 municípios com maior número de focos de queimadas no Pará (2020–2024) e posição de Óbidos. Fonte: Compilado pelos autores a partir de dados do INPE (2026).</w:t>
      </w:r>
    </w:p>
    <w:tbl>
      <w:tblPr>
        <w:tblW w:type="auto" w:w="0"/>
        <w:jc w:val="center"/>
        <w:tblLayout w:type="fixed"/>
        <w:tblLook w:firstColumn="1" w:firstRow="1" w:lastColumn="0" w:lastRow="0" w:noHBand="0" w:noVBand="1" w:val="04A0"/>
      </w:tblPr>
      <w:tblGrid>
        <w:gridCol w:w="1884"/>
        <w:gridCol w:w="1884"/>
        <w:gridCol w:w="1884"/>
        <w:gridCol w:w="1884"/>
        <w:gridCol w:w="1884"/>
      </w:tblGrid>
      <w:tr>
        <w:tc>
          <w:tcPr>
            <w:tcW w:type="dxa" w:w="1152"/>
            <w:shd w:fill="1E3A8A"/>
          </w:tcPr>
          <w:p>
            <w:pPr>
              <w:spacing w:before="80" w:after="80"/>
              <w:jc w:val="center"/>
            </w:pPr>
            <w:r>
              <w:rPr>
                <w:b/>
                <w:color w:val="FFFFFF"/>
                <w:sz w:val="19"/>
              </w:rPr>
              <w:t>Posição</w:t>
            </w:r>
          </w:p>
        </w:tc>
        <w:tc>
          <w:tcPr>
            <w:tcW w:type="dxa" w:w="2880"/>
            <w:shd w:fill="1E3A8A"/>
          </w:tcPr>
          <w:p>
            <w:pPr>
              <w:spacing w:before="80" w:after="80"/>
              <w:jc w:val="center"/>
            </w:pPr>
            <w:r>
              <w:rPr>
                <w:b/>
                <w:color w:val="FFFFFF"/>
                <w:sz w:val="19"/>
              </w:rPr>
              <w:t>Município</w:t>
            </w:r>
          </w:p>
        </w:tc>
        <w:tc>
          <w:tcPr>
            <w:tcW w:type="dxa" w:w="2304"/>
            <w:shd w:fill="1E3A8A"/>
          </w:tcPr>
          <w:p>
            <w:pPr>
              <w:spacing w:before="80" w:after="80"/>
              <w:jc w:val="center"/>
            </w:pPr>
            <w:r>
              <w:rPr>
                <w:b/>
                <w:color w:val="FFFFFF"/>
                <w:sz w:val="19"/>
              </w:rPr>
              <w:t>Focos Acumulados (2020–2024)</w:t>
            </w:r>
          </w:p>
        </w:tc>
        <w:tc>
          <w:tcPr>
            <w:tcW w:type="dxa" w:w="2016"/>
            <w:shd w:fill="1E3A8A"/>
          </w:tcPr>
          <w:p>
            <w:pPr>
              <w:spacing w:before="80" w:after="80"/>
              <w:jc w:val="center"/>
            </w:pPr>
            <w:r>
              <w:rPr>
                <w:b/>
                <w:color w:val="FFFFFF"/>
                <w:sz w:val="19"/>
              </w:rPr>
              <w:t>Participação Estadual (%)</w:t>
            </w:r>
          </w:p>
        </w:tc>
        <w:tc>
          <w:tcPr>
            <w:tcW w:type="dxa" w:w="1440"/>
            <w:shd w:fill="1E3A8A"/>
          </w:tcPr>
          <w:p>
            <w:pPr>
              <w:spacing w:before="80" w:after="80"/>
              <w:jc w:val="center"/>
            </w:pPr>
            <w:r>
              <w:rPr>
                <w:b/>
                <w:color w:val="FFFFFF"/>
                <w:sz w:val="19"/>
              </w:rPr>
              <w:t>Bioma Predominante</w:t>
            </w:r>
          </w:p>
        </w:tc>
      </w:tr>
      <w:tr>
        <w:tc>
          <w:tcPr>
            <w:tcW w:type="dxa" w:w="1152"/>
            <w:shd w:fill="FFFFFF"/>
          </w:tcPr>
          <w:p>
            <w:pPr>
              <w:spacing w:before="60" w:after="60"/>
              <w:jc w:val="center"/>
            </w:pPr>
            <w:r>
              <w:rPr>
                <w:b/>
                <w:color w:val="1E293B"/>
                <w:sz w:val="18"/>
              </w:rPr>
              <w:t>#1</w:t>
            </w:r>
          </w:p>
        </w:tc>
        <w:tc>
          <w:tcPr>
            <w:tcW w:type="dxa" w:w="2880"/>
            <w:shd w:fill="FFFFFF"/>
          </w:tcPr>
          <w:p>
            <w:pPr>
              <w:spacing w:before="60" w:after="60"/>
              <w:jc w:val="left"/>
            </w:pPr>
            <w:r>
              <w:rPr>
                <w:color w:val="1E293B"/>
                <w:sz w:val="18"/>
              </w:rPr>
              <w:t>SÃO FÉLIX DO XINGU</w:t>
            </w:r>
          </w:p>
        </w:tc>
        <w:tc>
          <w:tcPr>
            <w:tcW w:type="dxa" w:w="2304"/>
            <w:shd w:fill="FFFFFF"/>
          </w:tcPr>
          <w:p>
            <w:pPr>
              <w:spacing w:before="60" w:after="60"/>
              <w:jc w:val="center"/>
            </w:pPr>
            <w:r>
              <w:rPr>
                <w:color w:val="1E293B"/>
                <w:sz w:val="18"/>
              </w:rPr>
              <w:t>22.977</w:t>
            </w:r>
          </w:p>
        </w:tc>
        <w:tc>
          <w:tcPr>
            <w:tcW w:type="dxa" w:w="2016"/>
            <w:shd w:fill="FFFFFF"/>
          </w:tcPr>
          <w:p>
            <w:pPr>
              <w:spacing w:before="60" w:after="60"/>
              <w:jc w:val="center"/>
            </w:pPr>
            <w:r>
              <w:rPr>
                <w:color w:val="1E293B"/>
                <w:sz w:val="18"/>
              </w:rPr>
              <w:t>10,52%</w:t>
            </w:r>
          </w:p>
        </w:tc>
        <w:tc>
          <w:tcPr>
            <w:tcW w:type="dxa" w:w="1440"/>
            <w:shd w:fill="FFFFFF"/>
          </w:tcPr>
          <w:p>
            <w:pPr>
              <w:spacing w:before="60" w:after="60"/>
              <w:jc w:val="center"/>
            </w:pPr>
            <w:r>
              <w:rPr>
                <w:color w:val="1E293B"/>
                <w:sz w:val="18"/>
              </w:rPr>
              <w:t>Amazônia</w:t>
            </w:r>
          </w:p>
        </w:tc>
      </w:tr>
      <w:tr>
        <w:tc>
          <w:tcPr>
            <w:tcW w:type="dxa" w:w="1152"/>
            <w:shd w:fill="F8FAFC"/>
          </w:tcPr>
          <w:p>
            <w:pPr>
              <w:spacing w:before="60" w:after="60"/>
              <w:jc w:val="center"/>
            </w:pPr>
            <w:r>
              <w:rPr>
                <w:color w:val="1E293B"/>
                <w:sz w:val="18"/>
              </w:rPr>
              <w:t>#2</w:t>
            </w:r>
          </w:p>
        </w:tc>
        <w:tc>
          <w:tcPr>
            <w:tcW w:type="dxa" w:w="2880"/>
            <w:shd w:fill="F8FAFC"/>
          </w:tcPr>
          <w:p>
            <w:pPr>
              <w:spacing w:before="60" w:after="60"/>
              <w:jc w:val="left"/>
            </w:pPr>
            <w:r>
              <w:rPr>
                <w:color w:val="1E293B"/>
                <w:sz w:val="18"/>
              </w:rPr>
              <w:t>ALTAMIRA</w:t>
            </w:r>
          </w:p>
        </w:tc>
        <w:tc>
          <w:tcPr>
            <w:tcW w:type="dxa" w:w="2304"/>
            <w:shd w:fill="F8FAFC"/>
          </w:tcPr>
          <w:p>
            <w:pPr>
              <w:spacing w:before="60" w:after="60"/>
              <w:jc w:val="center"/>
            </w:pPr>
            <w:r>
              <w:rPr>
                <w:color w:val="1E293B"/>
                <w:sz w:val="18"/>
              </w:rPr>
              <w:t>22.389</w:t>
            </w:r>
          </w:p>
        </w:tc>
        <w:tc>
          <w:tcPr>
            <w:tcW w:type="dxa" w:w="2016"/>
            <w:shd w:fill="F8FAFC"/>
          </w:tcPr>
          <w:p>
            <w:pPr>
              <w:spacing w:before="60" w:after="60"/>
              <w:jc w:val="center"/>
            </w:pPr>
            <w:r>
              <w:rPr>
                <w:color w:val="1E293B"/>
                <w:sz w:val="18"/>
              </w:rPr>
              <w:t>10,25%</w:t>
            </w:r>
          </w:p>
        </w:tc>
        <w:tc>
          <w:tcPr>
            <w:tcW w:type="dxa" w:w="1440"/>
            <w:shd w:fill="F8FAFC"/>
          </w:tcPr>
          <w:p>
            <w:pPr>
              <w:spacing w:before="60" w:after="60"/>
              <w:jc w:val="center"/>
            </w:pPr>
            <w:r>
              <w:rPr>
                <w:color w:val="1E293B"/>
                <w:sz w:val="18"/>
              </w:rPr>
              <w:t>Amazônia</w:t>
            </w:r>
          </w:p>
        </w:tc>
      </w:tr>
      <w:tr>
        <w:tc>
          <w:tcPr>
            <w:tcW w:type="dxa" w:w="1152"/>
            <w:shd w:fill="FFFFFF"/>
          </w:tcPr>
          <w:p>
            <w:pPr>
              <w:spacing w:before="60" w:after="60"/>
              <w:jc w:val="center"/>
            </w:pPr>
            <w:r>
              <w:rPr>
                <w:color w:val="1E293B"/>
                <w:sz w:val="18"/>
              </w:rPr>
              <w:t>#3</w:t>
            </w:r>
          </w:p>
        </w:tc>
        <w:tc>
          <w:tcPr>
            <w:tcW w:type="dxa" w:w="2880"/>
            <w:shd w:fill="FFFFFF"/>
          </w:tcPr>
          <w:p>
            <w:pPr>
              <w:spacing w:before="60" w:after="60"/>
              <w:jc w:val="left"/>
            </w:pPr>
            <w:r>
              <w:rPr>
                <w:color w:val="1E293B"/>
                <w:sz w:val="18"/>
              </w:rPr>
              <w:t>NOVO PROGRESSO</w:t>
            </w:r>
          </w:p>
        </w:tc>
        <w:tc>
          <w:tcPr>
            <w:tcW w:type="dxa" w:w="2304"/>
            <w:shd w:fill="FFFFFF"/>
          </w:tcPr>
          <w:p>
            <w:pPr>
              <w:spacing w:before="60" w:after="60"/>
              <w:jc w:val="center"/>
            </w:pPr>
            <w:r>
              <w:rPr>
                <w:color w:val="1E293B"/>
                <w:sz w:val="18"/>
              </w:rPr>
              <w:t>13.473</w:t>
            </w:r>
          </w:p>
        </w:tc>
        <w:tc>
          <w:tcPr>
            <w:tcW w:type="dxa" w:w="2016"/>
            <w:shd w:fill="FFFFFF"/>
          </w:tcPr>
          <w:p>
            <w:pPr>
              <w:spacing w:before="60" w:after="60"/>
              <w:jc w:val="center"/>
            </w:pPr>
            <w:r>
              <w:rPr>
                <w:color w:val="1E293B"/>
                <w:sz w:val="18"/>
              </w:rPr>
              <w:t>6,17%</w:t>
            </w:r>
          </w:p>
        </w:tc>
        <w:tc>
          <w:tcPr>
            <w:tcW w:type="dxa" w:w="1440"/>
            <w:shd w:fill="FFFFFF"/>
          </w:tcPr>
          <w:p>
            <w:pPr>
              <w:spacing w:before="60" w:after="60"/>
              <w:jc w:val="center"/>
            </w:pPr>
            <w:r>
              <w:rPr>
                <w:color w:val="1E293B"/>
                <w:sz w:val="18"/>
              </w:rPr>
              <w:t>Amazônia</w:t>
            </w:r>
          </w:p>
        </w:tc>
      </w:tr>
      <w:tr>
        <w:tc>
          <w:tcPr>
            <w:tcW w:type="dxa" w:w="1152"/>
            <w:shd w:fill="F8FAFC"/>
          </w:tcPr>
          <w:p>
            <w:pPr>
              <w:spacing w:before="60" w:after="60"/>
              <w:jc w:val="center"/>
            </w:pPr>
            <w:r>
              <w:rPr>
                <w:color w:val="1E293B"/>
                <w:sz w:val="18"/>
              </w:rPr>
              <w:t>#4</w:t>
            </w:r>
          </w:p>
        </w:tc>
        <w:tc>
          <w:tcPr>
            <w:tcW w:type="dxa" w:w="2880"/>
            <w:shd w:fill="F8FAFC"/>
          </w:tcPr>
          <w:p>
            <w:pPr>
              <w:spacing w:before="60" w:after="60"/>
              <w:jc w:val="left"/>
            </w:pPr>
            <w:r>
              <w:rPr>
                <w:color w:val="1E293B"/>
                <w:sz w:val="18"/>
              </w:rPr>
              <w:t>ITAITUBA</w:t>
            </w:r>
          </w:p>
        </w:tc>
        <w:tc>
          <w:tcPr>
            <w:tcW w:type="dxa" w:w="2304"/>
            <w:shd w:fill="F8FAFC"/>
          </w:tcPr>
          <w:p>
            <w:pPr>
              <w:spacing w:before="60" w:after="60"/>
              <w:jc w:val="center"/>
            </w:pPr>
            <w:r>
              <w:rPr>
                <w:color w:val="1E293B"/>
                <w:sz w:val="18"/>
              </w:rPr>
              <w:t>9.588</w:t>
            </w:r>
          </w:p>
        </w:tc>
        <w:tc>
          <w:tcPr>
            <w:tcW w:type="dxa" w:w="2016"/>
            <w:shd w:fill="F8FAFC"/>
          </w:tcPr>
          <w:p>
            <w:pPr>
              <w:spacing w:before="60" w:after="60"/>
              <w:jc w:val="center"/>
            </w:pPr>
            <w:r>
              <w:rPr>
                <w:color w:val="1E293B"/>
                <w:sz w:val="18"/>
              </w:rPr>
              <w:t>4,39%</w:t>
            </w:r>
          </w:p>
        </w:tc>
        <w:tc>
          <w:tcPr>
            <w:tcW w:type="dxa" w:w="1440"/>
            <w:shd w:fill="F8FAFC"/>
          </w:tcPr>
          <w:p>
            <w:pPr>
              <w:spacing w:before="60" w:after="60"/>
              <w:jc w:val="center"/>
            </w:pPr>
            <w:r>
              <w:rPr>
                <w:color w:val="1E293B"/>
                <w:sz w:val="18"/>
              </w:rPr>
              <w:t>Amazônia</w:t>
            </w:r>
          </w:p>
        </w:tc>
      </w:tr>
      <w:tr>
        <w:tc>
          <w:tcPr>
            <w:tcW w:type="dxa" w:w="1152"/>
            <w:shd w:fill="FFFFFF"/>
          </w:tcPr>
          <w:p>
            <w:pPr>
              <w:spacing w:before="60" w:after="60"/>
              <w:jc w:val="center"/>
            </w:pPr>
            <w:r>
              <w:rPr>
                <w:color w:val="1E293B"/>
                <w:sz w:val="18"/>
              </w:rPr>
              <w:t>#5</w:t>
            </w:r>
          </w:p>
        </w:tc>
        <w:tc>
          <w:tcPr>
            <w:tcW w:type="dxa" w:w="2880"/>
            <w:shd w:fill="FFFFFF"/>
          </w:tcPr>
          <w:p>
            <w:pPr>
              <w:spacing w:before="60" w:after="60"/>
              <w:jc w:val="left"/>
            </w:pPr>
            <w:r>
              <w:rPr>
                <w:color w:val="1E293B"/>
                <w:sz w:val="18"/>
              </w:rPr>
              <w:t>PORTEL</w:t>
            </w:r>
          </w:p>
        </w:tc>
        <w:tc>
          <w:tcPr>
            <w:tcW w:type="dxa" w:w="2304"/>
            <w:shd w:fill="FFFFFF"/>
          </w:tcPr>
          <w:p>
            <w:pPr>
              <w:spacing w:before="60" w:after="60"/>
              <w:jc w:val="center"/>
            </w:pPr>
            <w:r>
              <w:rPr>
                <w:color w:val="1E293B"/>
                <w:sz w:val="18"/>
              </w:rPr>
              <w:t>7.372</w:t>
            </w:r>
          </w:p>
        </w:tc>
        <w:tc>
          <w:tcPr>
            <w:tcW w:type="dxa" w:w="2016"/>
            <w:shd w:fill="FFFFFF"/>
          </w:tcPr>
          <w:p>
            <w:pPr>
              <w:spacing w:before="60" w:after="60"/>
              <w:jc w:val="center"/>
            </w:pPr>
            <w:r>
              <w:rPr>
                <w:color w:val="1E293B"/>
                <w:sz w:val="18"/>
              </w:rPr>
              <w:t>3,37%</w:t>
            </w:r>
          </w:p>
        </w:tc>
        <w:tc>
          <w:tcPr>
            <w:tcW w:type="dxa" w:w="1440"/>
            <w:shd w:fill="FFFFFF"/>
          </w:tcPr>
          <w:p>
            <w:pPr>
              <w:spacing w:before="60" w:after="60"/>
              <w:jc w:val="center"/>
            </w:pPr>
            <w:r>
              <w:rPr>
                <w:color w:val="1E293B"/>
                <w:sz w:val="18"/>
              </w:rPr>
              <w:t>Amazônia</w:t>
            </w:r>
          </w:p>
        </w:tc>
      </w:tr>
      <w:tr>
        <w:tc>
          <w:tcPr>
            <w:tcW w:type="dxa" w:w="1152"/>
            <w:shd w:fill="F8FAFC"/>
          </w:tcPr>
          <w:p>
            <w:pPr>
              <w:spacing w:before="60" w:after="60"/>
              <w:jc w:val="center"/>
            </w:pPr>
            <w:r>
              <w:rPr>
                <w:color w:val="1E293B"/>
                <w:sz w:val="18"/>
              </w:rPr>
              <w:t>#6</w:t>
            </w:r>
          </w:p>
        </w:tc>
        <w:tc>
          <w:tcPr>
            <w:tcW w:type="dxa" w:w="2880"/>
            <w:shd w:fill="F8FAFC"/>
          </w:tcPr>
          <w:p>
            <w:pPr>
              <w:spacing w:before="60" w:after="60"/>
              <w:jc w:val="left"/>
            </w:pPr>
            <w:r>
              <w:rPr>
                <w:color w:val="1E293B"/>
                <w:sz w:val="18"/>
              </w:rPr>
              <w:t>PACAJÁ</w:t>
            </w:r>
          </w:p>
        </w:tc>
        <w:tc>
          <w:tcPr>
            <w:tcW w:type="dxa" w:w="2304"/>
            <w:shd w:fill="F8FAFC"/>
          </w:tcPr>
          <w:p>
            <w:pPr>
              <w:spacing w:before="60" w:after="60"/>
              <w:jc w:val="center"/>
            </w:pPr>
            <w:r>
              <w:rPr>
                <w:color w:val="1E293B"/>
                <w:sz w:val="18"/>
              </w:rPr>
              <w:t>5.455</w:t>
            </w:r>
          </w:p>
        </w:tc>
        <w:tc>
          <w:tcPr>
            <w:tcW w:type="dxa" w:w="2016"/>
            <w:shd w:fill="F8FAFC"/>
          </w:tcPr>
          <w:p>
            <w:pPr>
              <w:spacing w:before="60" w:after="60"/>
              <w:jc w:val="center"/>
            </w:pPr>
            <w:r>
              <w:rPr>
                <w:color w:val="1E293B"/>
                <w:sz w:val="18"/>
              </w:rPr>
              <w:t>2,50%</w:t>
            </w:r>
          </w:p>
        </w:tc>
        <w:tc>
          <w:tcPr>
            <w:tcW w:type="dxa" w:w="1440"/>
            <w:shd w:fill="F8FAFC"/>
          </w:tcPr>
          <w:p>
            <w:pPr>
              <w:spacing w:before="60" w:after="60"/>
              <w:jc w:val="center"/>
            </w:pPr>
            <w:r>
              <w:rPr>
                <w:color w:val="1E293B"/>
                <w:sz w:val="18"/>
              </w:rPr>
              <w:t>Amazônia</w:t>
            </w:r>
          </w:p>
        </w:tc>
      </w:tr>
      <w:tr>
        <w:tc>
          <w:tcPr>
            <w:tcW w:type="dxa" w:w="1152"/>
            <w:shd w:fill="FFFFFF"/>
          </w:tcPr>
          <w:p>
            <w:pPr>
              <w:spacing w:before="60" w:after="60"/>
              <w:jc w:val="center"/>
            </w:pPr>
            <w:r>
              <w:rPr>
                <w:color w:val="1E293B"/>
                <w:sz w:val="18"/>
              </w:rPr>
              <w:t>#7</w:t>
            </w:r>
          </w:p>
        </w:tc>
        <w:tc>
          <w:tcPr>
            <w:tcW w:type="dxa" w:w="2880"/>
            <w:shd w:fill="FFFFFF"/>
          </w:tcPr>
          <w:p>
            <w:pPr>
              <w:spacing w:before="60" w:after="60"/>
              <w:jc w:val="left"/>
            </w:pPr>
            <w:r>
              <w:rPr>
                <w:color w:val="1E293B"/>
                <w:sz w:val="18"/>
              </w:rPr>
              <w:t>JACAREACANGA</w:t>
            </w:r>
          </w:p>
        </w:tc>
        <w:tc>
          <w:tcPr>
            <w:tcW w:type="dxa" w:w="2304"/>
            <w:shd w:fill="FFFFFF"/>
          </w:tcPr>
          <w:p>
            <w:pPr>
              <w:spacing w:before="60" w:after="60"/>
              <w:jc w:val="center"/>
            </w:pPr>
            <w:r>
              <w:rPr>
                <w:color w:val="1E293B"/>
                <w:sz w:val="18"/>
              </w:rPr>
              <w:t>4.770</w:t>
            </w:r>
          </w:p>
        </w:tc>
        <w:tc>
          <w:tcPr>
            <w:tcW w:type="dxa" w:w="2016"/>
            <w:shd w:fill="FFFFFF"/>
          </w:tcPr>
          <w:p>
            <w:pPr>
              <w:spacing w:before="60" w:after="60"/>
              <w:jc w:val="center"/>
            </w:pPr>
            <w:r>
              <w:rPr>
                <w:color w:val="1E293B"/>
                <w:sz w:val="18"/>
              </w:rPr>
              <w:t>2,18%</w:t>
            </w:r>
          </w:p>
        </w:tc>
        <w:tc>
          <w:tcPr>
            <w:tcW w:type="dxa" w:w="1440"/>
            <w:shd w:fill="FFFFFF"/>
          </w:tcPr>
          <w:p>
            <w:pPr>
              <w:spacing w:before="60" w:after="60"/>
              <w:jc w:val="center"/>
            </w:pPr>
            <w:r>
              <w:rPr>
                <w:color w:val="1E293B"/>
                <w:sz w:val="18"/>
              </w:rPr>
              <w:t>Amazônia</w:t>
            </w:r>
          </w:p>
        </w:tc>
      </w:tr>
      <w:tr>
        <w:tc>
          <w:tcPr>
            <w:tcW w:type="dxa" w:w="1152"/>
            <w:shd w:fill="F8FAFC"/>
          </w:tcPr>
          <w:p>
            <w:pPr>
              <w:spacing w:before="60" w:after="60"/>
              <w:jc w:val="center"/>
            </w:pPr>
            <w:r>
              <w:rPr>
                <w:color w:val="1E293B"/>
                <w:sz w:val="18"/>
              </w:rPr>
              <w:t>#8</w:t>
            </w:r>
          </w:p>
        </w:tc>
        <w:tc>
          <w:tcPr>
            <w:tcW w:type="dxa" w:w="2880"/>
            <w:shd w:fill="F8FAFC"/>
          </w:tcPr>
          <w:p>
            <w:pPr>
              <w:spacing w:before="60" w:after="60"/>
              <w:jc w:val="left"/>
            </w:pPr>
            <w:r>
              <w:rPr>
                <w:color w:val="1E293B"/>
                <w:sz w:val="18"/>
              </w:rPr>
              <w:t>MOJU</w:t>
            </w:r>
          </w:p>
        </w:tc>
        <w:tc>
          <w:tcPr>
            <w:tcW w:type="dxa" w:w="2304"/>
            <w:shd w:fill="F8FAFC"/>
          </w:tcPr>
          <w:p>
            <w:pPr>
              <w:spacing w:before="60" w:after="60"/>
              <w:jc w:val="center"/>
            </w:pPr>
            <w:r>
              <w:rPr>
                <w:color w:val="1E293B"/>
                <w:sz w:val="18"/>
              </w:rPr>
              <w:t>4.510</w:t>
            </w:r>
          </w:p>
        </w:tc>
        <w:tc>
          <w:tcPr>
            <w:tcW w:type="dxa" w:w="2016"/>
            <w:shd w:fill="F8FAFC"/>
          </w:tcPr>
          <w:p>
            <w:pPr>
              <w:spacing w:before="60" w:after="60"/>
              <w:jc w:val="center"/>
            </w:pPr>
            <w:r>
              <w:rPr>
                <w:color w:val="1E293B"/>
                <w:sz w:val="18"/>
              </w:rPr>
              <w:t>2,06%</w:t>
            </w:r>
          </w:p>
        </w:tc>
        <w:tc>
          <w:tcPr>
            <w:tcW w:type="dxa" w:w="1440"/>
            <w:shd w:fill="F8FAFC"/>
          </w:tcPr>
          <w:p>
            <w:pPr>
              <w:spacing w:before="60" w:after="60"/>
              <w:jc w:val="center"/>
            </w:pPr>
            <w:r>
              <w:rPr>
                <w:color w:val="1E293B"/>
                <w:sz w:val="18"/>
              </w:rPr>
              <w:t>Amazônia</w:t>
            </w:r>
          </w:p>
        </w:tc>
      </w:tr>
      <w:tr>
        <w:tc>
          <w:tcPr>
            <w:tcW w:type="dxa" w:w="1152"/>
            <w:shd w:fill="FFFFFF"/>
          </w:tcPr>
          <w:p>
            <w:pPr>
              <w:spacing w:before="60" w:after="60"/>
              <w:jc w:val="center"/>
            </w:pPr>
            <w:r>
              <w:rPr>
                <w:color w:val="1E293B"/>
                <w:sz w:val="18"/>
              </w:rPr>
              <w:t>#9</w:t>
            </w:r>
          </w:p>
        </w:tc>
        <w:tc>
          <w:tcPr>
            <w:tcW w:type="dxa" w:w="2880"/>
            <w:shd w:fill="FFFFFF"/>
          </w:tcPr>
          <w:p>
            <w:pPr>
              <w:spacing w:before="60" w:after="60"/>
              <w:jc w:val="left"/>
            </w:pPr>
            <w:r>
              <w:rPr>
                <w:color w:val="1E293B"/>
                <w:sz w:val="18"/>
              </w:rPr>
              <w:t>URUARÁ</w:t>
            </w:r>
          </w:p>
        </w:tc>
        <w:tc>
          <w:tcPr>
            <w:tcW w:type="dxa" w:w="2304"/>
            <w:shd w:fill="FFFFFF"/>
          </w:tcPr>
          <w:p>
            <w:pPr>
              <w:spacing w:before="60" w:after="60"/>
              <w:jc w:val="center"/>
            </w:pPr>
            <w:r>
              <w:rPr>
                <w:color w:val="1E293B"/>
                <w:sz w:val="18"/>
              </w:rPr>
              <w:t>4.034</w:t>
            </w:r>
          </w:p>
        </w:tc>
        <w:tc>
          <w:tcPr>
            <w:tcW w:type="dxa" w:w="2016"/>
            <w:shd w:fill="FFFFFF"/>
          </w:tcPr>
          <w:p>
            <w:pPr>
              <w:spacing w:before="60" w:after="60"/>
              <w:jc w:val="center"/>
            </w:pPr>
            <w:r>
              <w:rPr>
                <w:color w:val="1E293B"/>
                <w:sz w:val="18"/>
              </w:rPr>
              <w:t>1,85%</w:t>
            </w:r>
          </w:p>
        </w:tc>
        <w:tc>
          <w:tcPr>
            <w:tcW w:type="dxa" w:w="1440"/>
            <w:shd w:fill="FFFFFF"/>
          </w:tcPr>
          <w:p>
            <w:pPr>
              <w:spacing w:before="60" w:after="60"/>
              <w:jc w:val="center"/>
            </w:pPr>
            <w:r>
              <w:rPr>
                <w:color w:val="1E293B"/>
                <w:sz w:val="18"/>
              </w:rPr>
              <w:t>Amazônia</w:t>
            </w:r>
          </w:p>
        </w:tc>
      </w:tr>
      <w:tr>
        <w:tc>
          <w:tcPr>
            <w:tcW w:type="dxa" w:w="1152"/>
            <w:shd w:fill="F8FAFC"/>
          </w:tcPr>
          <w:p>
            <w:pPr>
              <w:spacing w:before="60" w:after="60"/>
              <w:jc w:val="center"/>
            </w:pPr>
            <w:r>
              <w:rPr>
                <w:color w:val="1E293B"/>
                <w:sz w:val="18"/>
              </w:rPr>
              <w:t>#10</w:t>
            </w:r>
          </w:p>
        </w:tc>
        <w:tc>
          <w:tcPr>
            <w:tcW w:type="dxa" w:w="2880"/>
            <w:shd w:fill="F8FAFC"/>
          </w:tcPr>
          <w:p>
            <w:pPr>
              <w:spacing w:before="60" w:after="60"/>
              <w:jc w:val="left"/>
            </w:pPr>
            <w:r>
              <w:rPr>
                <w:color w:val="1E293B"/>
                <w:sz w:val="18"/>
              </w:rPr>
              <w:t>PLACAS</w:t>
            </w:r>
          </w:p>
        </w:tc>
        <w:tc>
          <w:tcPr>
            <w:tcW w:type="dxa" w:w="2304"/>
            <w:shd w:fill="F8FAFC"/>
          </w:tcPr>
          <w:p>
            <w:pPr>
              <w:spacing w:before="60" w:after="60"/>
              <w:jc w:val="center"/>
            </w:pPr>
            <w:r>
              <w:rPr>
                <w:color w:val="1E293B"/>
                <w:sz w:val="18"/>
              </w:rPr>
              <w:t>3.508</w:t>
            </w:r>
          </w:p>
        </w:tc>
        <w:tc>
          <w:tcPr>
            <w:tcW w:type="dxa" w:w="2016"/>
            <w:shd w:fill="F8FAFC"/>
          </w:tcPr>
          <w:p>
            <w:pPr>
              <w:spacing w:before="60" w:after="60"/>
              <w:jc w:val="center"/>
            </w:pPr>
            <w:r>
              <w:rPr>
                <w:color w:val="1E293B"/>
                <w:sz w:val="18"/>
              </w:rPr>
              <w:t>1,61%</w:t>
            </w:r>
          </w:p>
        </w:tc>
        <w:tc>
          <w:tcPr>
            <w:tcW w:type="dxa" w:w="1440"/>
            <w:shd w:fill="F8FAFC"/>
          </w:tcPr>
          <w:p>
            <w:pPr>
              <w:spacing w:before="60" w:after="60"/>
              <w:jc w:val="center"/>
            </w:pPr>
            <w:r>
              <w:rPr>
                <w:color w:val="1E293B"/>
                <w:sz w:val="18"/>
              </w:rPr>
              <w:t>Amazônia</w:t>
            </w:r>
          </w:p>
        </w:tc>
      </w:tr>
      <w:tr>
        <w:tc>
          <w:tcPr>
            <w:tcW w:type="dxa" w:w="1152"/>
            <w:shd w:fill="FFFFFF"/>
          </w:tcPr>
          <w:p>
            <w:pPr>
              <w:spacing w:before="60" w:after="60"/>
              <w:jc w:val="center"/>
            </w:pPr>
            <w:r>
              <w:rPr>
                <w:color w:val="1E293B"/>
                <w:sz w:val="18"/>
              </w:rPr>
              <w:t>#11</w:t>
            </w:r>
          </w:p>
        </w:tc>
        <w:tc>
          <w:tcPr>
            <w:tcW w:type="dxa" w:w="2880"/>
            <w:shd w:fill="FFFFFF"/>
          </w:tcPr>
          <w:p>
            <w:pPr>
              <w:spacing w:before="60" w:after="60"/>
              <w:jc w:val="left"/>
            </w:pPr>
            <w:r>
              <w:rPr>
                <w:color w:val="1E293B"/>
                <w:sz w:val="18"/>
              </w:rPr>
              <w:t>ÓBIDOS</w:t>
            </w:r>
          </w:p>
        </w:tc>
        <w:tc>
          <w:tcPr>
            <w:tcW w:type="dxa" w:w="2304"/>
            <w:shd w:fill="FFFFFF"/>
          </w:tcPr>
          <w:p>
            <w:pPr>
              <w:spacing w:before="60" w:after="60"/>
              <w:jc w:val="center"/>
            </w:pPr>
            <w:r>
              <w:rPr>
                <w:color w:val="1E293B"/>
                <w:sz w:val="18"/>
              </w:rPr>
              <w:t>3.374</w:t>
            </w:r>
          </w:p>
        </w:tc>
        <w:tc>
          <w:tcPr>
            <w:tcW w:type="dxa" w:w="2016"/>
            <w:shd w:fill="FFFFFF"/>
          </w:tcPr>
          <w:p>
            <w:pPr>
              <w:spacing w:before="60" w:after="60"/>
              <w:jc w:val="center"/>
            </w:pPr>
            <w:r>
              <w:rPr>
                <w:color w:val="1E293B"/>
                <w:sz w:val="18"/>
              </w:rPr>
              <w:t>1,54%</w:t>
            </w:r>
          </w:p>
        </w:tc>
        <w:tc>
          <w:tcPr>
            <w:tcW w:type="dxa" w:w="1440"/>
            <w:shd w:fill="FFFFFF"/>
          </w:tcPr>
          <w:p>
            <w:pPr>
              <w:spacing w:before="60" w:after="60"/>
              <w:jc w:val="center"/>
            </w:pPr>
            <w:r>
              <w:rPr>
                <w:color w:val="1E293B"/>
                <w:sz w:val="18"/>
              </w:rPr>
              <w:t>Amazônia</w:t>
            </w:r>
          </w:p>
        </w:tc>
      </w:tr>
    </w:tbl>
    <w:p>
      <w:pPr>
        <w:spacing w:before="0" w:after="160"/>
      </w:pPr>
    </w:p>
    <w:p>
      <w:pPr>
        <w:spacing w:line="288" w:lineRule="auto" w:after="120"/>
        <w:jc w:val="both"/>
      </w:pPr>
      <w:r>
        <w:rPr>
          <w:i w:val="0"/>
          <w:color w:val="1E293B"/>
          <w:sz w:val="22"/>
        </w:rPr>
        <w:t>A Figura 13 apresenta o ranking gráfico dos 10 municípios mais afetados no ano de 2024, destacando São Félix do Xingu e Altamira no topo do estado.</w:t>
      </w:r>
    </w:p>
    <w:p>
      <w:pPr>
        <w:keepNext/>
        <w:spacing w:before="200" w:after="80"/>
        <w:jc w:val="center"/>
      </w:pPr>
      <w:r>
        <w:drawing>
          <wp:inline xmlns:a="http://schemas.openxmlformats.org/drawingml/2006/main" xmlns:pic="http://schemas.openxmlformats.org/drawingml/2006/picture">
            <wp:extent cx="5303520" cy="2624975"/>
            <wp:docPr id="13" name="Picture 13"/>
            <wp:cNvGraphicFramePr>
              <a:graphicFrameLocks noChangeAspect="1"/>
            </wp:cNvGraphicFramePr>
            <a:graphic>
              <a:graphicData uri="http://schemas.openxmlformats.org/drawingml/2006/picture">
                <pic:pic>
                  <pic:nvPicPr>
                    <pic:cNvPr id="0" name="top10_2024.png"/>
                    <pic:cNvPicPr/>
                  </pic:nvPicPr>
                  <pic:blipFill>
                    <a:blip r:embed="rId21"/>
                    <a:stretch>
                      <a:fillRect/>
                    </a:stretch>
                  </pic:blipFill>
                  <pic:spPr>
                    <a:xfrm>
                      <a:off x="0" y="0"/>
                      <a:ext cx="5303520" cy="2624975"/>
                    </a:xfrm>
                    <a:prstGeom prst="rect"/>
                  </pic:spPr>
                </pic:pic>
              </a:graphicData>
            </a:graphic>
          </wp:inline>
        </w:drawing>
      </w:r>
    </w:p>
    <w:p>
      <w:pPr>
        <w:spacing w:before="0" w:after="240"/>
        <w:jc w:val="center"/>
      </w:pPr>
      <w:r>
        <w:rPr>
          <w:b/>
          <w:color w:val="475569"/>
          <w:sz w:val="19"/>
        </w:rPr>
        <w:t>Figura 13 – Top 10 municípios com maior número de focos de queimadas no Estado do Pará no ano de 2024. Fonte: Gerado pelo pipeline scripts/graficos.py (2026).</w:t>
      </w:r>
    </w:p>
    <w:p>
      <w:pPr>
        <w:spacing w:line="288" w:lineRule="auto" w:after="120"/>
        <w:jc w:val="both"/>
      </w:pPr>
      <w:r>
        <w:rPr>
          <w:i w:val="0"/>
          <w:color w:val="1E293B"/>
          <w:sz w:val="22"/>
        </w:rPr>
        <w:t>Para contextualizar o impacto local, a Figura 14 compara o total de queimadas em Óbidos em 2024 (708 focos) com a média de focos por município no Pará (415,6 focos), evidenciando que Óbidos manteve-se 70,3% acima da média estadual dos municípios paraenses naquele ano.</w:t>
      </w:r>
    </w:p>
    <w:p>
      <w:pPr>
        <w:keepNext/>
        <w:spacing w:before="200" w:after="80"/>
        <w:jc w:val="center"/>
      </w:pPr>
      <w:r>
        <w:drawing>
          <wp:inline xmlns:a="http://schemas.openxmlformats.org/drawingml/2006/main" xmlns:pic="http://schemas.openxmlformats.org/drawingml/2006/picture">
            <wp:extent cx="5303520" cy="2627432"/>
            <wp:docPr id="14" name="Picture 14"/>
            <wp:cNvGraphicFramePr>
              <a:graphicFrameLocks noChangeAspect="1"/>
            </wp:cNvGraphicFramePr>
            <a:graphic>
              <a:graphicData uri="http://schemas.openxmlformats.org/drawingml/2006/picture">
                <pic:pic>
                  <pic:nvPicPr>
                    <pic:cNvPr id="0" name="comparacao_2024.png"/>
                    <pic:cNvPicPr/>
                  </pic:nvPicPr>
                  <pic:blipFill>
                    <a:blip r:embed="rId22"/>
                    <a:stretch>
                      <a:fillRect/>
                    </a:stretch>
                  </pic:blipFill>
                  <pic:spPr>
                    <a:xfrm>
                      <a:off x="0" y="0"/>
                      <a:ext cx="5303520" cy="2627432"/>
                    </a:xfrm>
                    <a:prstGeom prst="rect"/>
                  </pic:spPr>
                </pic:pic>
              </a:graphicData>
            </a:graphic>
          </wp:inline>
        </w:drawing>
      </w:r>
    </w:p>
    <w:p>
      <w:pPr>
        <w:spacing w:before="0" w:after="240"/>
        <w:jc w:val="center"/>
      </w:pPr>
      <w:r>
        <w:rPr>
          <w:b/>
          <w:color w:val="475569"/>
          <w:sz w:val="19"/>
        </w:rPr>
        <w:t>Figura 14 – Comparação entre os focos de queimadas em Óbidos e a média municipal do Estado do Pará no ano de 2024. Fonte: Gerado pelo pipeline scripts/graficos.py (2026).</w:t>
      </w:r>
    </w:p>
    <w:p>
      <w:pPr>
        <w:keepNext/>
        <w:spacing w:before="240" w:after="80"/>
        <w:jc w:val="left"/>
      </w:pPr>
      <w:r>
        <w:rPr>
          <w:rFonts w:ascii="Calibri" w:hAnsi="Calibri"/>
          <w:b/>
          <w:color w:val="1E3A8A"/>
          <w:sz w:val="24"/>
        </w:rPr>
        <w:t>5.4 Avaliação de Desempenho Computacional do Pipeline</w:t>
      </w:r>
    </w:p>
    <w:p>
      <w:pPr>
        <w:spacing w:line="288" w:lineRule="auto" w:after="120"/>
        <w:jc w:val="both"/>
      </w:pPr>
      <w:r>
        <w:rPr>
          <w:i w:val="0"/>
          <w:color w:val="1E293B"/>
          <w:sz w:val="22"/>
        </w:rPr>
        <w:t>O pipeline automatizado foi submetido a testes de estresse em ambiente de computação padrão (Codespaces 4 vCPUs, 8 GB RAM). A Tabela 4 resume as métricas de tempo de execução e taxa de ingestão obtidas.</w:t>
      </w:r>
    </w:p>
    <w:p>
      <w:pPr>
        <w:keepNext/>
        <w:spacing w:before="200" w:after="80"/>
        <w:jc w:val="center"/>
      </w:pPr>
      <w:r>
        <w:rPr>
          <w:b/>
          <w:color w:val="475569"/>
          <w:sz w:val="19"/>
        </w:rPr>
        <w:t>Tabela 4 – Desempenho computacional e tempo de execução por etapa do pipeline de dados. Fonte: Autores (2026).</w:t>
      </w:r>
    </w:p>
    <w:tbl>
      <w:tblPr>
        <w:tblW w:type="auto" w:w="0"/>
        <w:jc w:val="center"/>
        <w:tblLayout w:type="fixed"/>
        <w:tblLook w:firstColumn="1" w:firstRow="1" w:lastColumn="0" w:lastRow="0" w:noHBand="0" w:noVBand="1" w:val="04A0"/>
      </w:tblPr>
      <w:tblGrid>
        <w:gridCol w:w="1884"/>
        <w:gridCol w:w="1884"/>
        <w:gridCol w:w="1884"/>
        <w:gridCol w:w="1884"/>
        <w:gridCol w:w="1884"/>
      </w:tblGrid>
      <w:tr>
        <w:tc>
          <w:tcPr>
            <w:tcW w:type="dxa" w:w="1872"/>
            <w:shd w:fill="1E3A8A"/>
          </w:tcPr>
          <w:p>
            <w:pPr>
              <w:spacing w:before="80" w:after="80"/>
              <w:jc w:val="center"/>
            </w:pPr>
            <w:r>
              <w:rPr>
                <w:b/>
                <w:color w:val="FFFFFF"/>
                <w:sz w:val="19"/>
              </w:rPr>
              <w:t>Etapa do Pipeline</w:t>
            </w:r>
          </w:p>
        </w:tc>
        <w:tc>
          <w:tcPr>
            <w:tcW w:type="dxa" w:w="1872"/>
            <w:shd w:fill="1E3A8A"/>
          </w:tcPr>
          <w:p>
            <w:pPr>
              <w:spacing w:before="80" w:after="80"/>
              <w:jc w:val="center"/>
            </w:pPr>
            <w:r>
              <w:rPr>
                <w:b/>
                <w:color w:val="FFFFFF"/>
                <w:sz w:val="19"/>
              </w:rPr>
              <w:t>Módulo Python</w:t>
            </w:r>
          </w:p>
        </w:tc>
        <w:tc>
          <w:tcPr>
            <w:tcW w:type="dxa" w:w="1440"/>
            <w:shd w:fill="1E3A8A"/>
          </w:tcPr>
          <w:p>
            <w:pPr>
              <w:spacing w:before="80" w:after="80"/>
              <w:jc w:val="center"/>
            </w:pPr>
            <w:r>
              <w:rPr>
                <w:b/>
                <w:color w:val="FFFFFF"/>
                <w:sz w:val="19"/>
              </w:rPr>
              <w:t>Tempo Médio (s)</w:t>
            </w:r>
          </w:p>
        </w:tc>
        <w:tc>
          <w:tcPr>
            <w:tcW w:type="dxa" w:w="1728"/>
            <w:shd w:fill="1E3A8A"/>
          </w:tcPr>
          <w:p>
            <w:pPr>
              <w:spacing w:before="80" w:after="80"/>
              <w:jc w:val="center"/>
            </w:pPr>
            <w:r>
              <w:rPr>
                <w:b/>
                <w:color w:val="FFFFFF"/>
                <w:sz w:val="19"/>
              </w:rPr>
              <w:t>Taxa de Processamento</w:t>
            </w:r>
          </w:p>
        </w:tc>
        <w:tc>
          <w:tcPr>
            <w:tcW w:type="dxa" w:w="2592"/>
            <w:shd w:fill="1E3A8A"/>
          </w:tcPr>
          <w:p>
            <w:pPr>
              <w:spacing w:before="80" w:after="80"/>
              <w:jc w:val="center"/>
            </w:pPr>
            <w:r>
              <w:rPr>
                <w:b/>
                <w:color w:val="FFFFFF"/>
                <w:sz w:val="19"/>
              </w:rPr>
              <w:t>Artefatos Produzidos</w:t>
            </w:r>
          </w:p>
        </w:tc>
      </w:tr>
      <w:tr>
        <w:tc>
          <w:tcPr>
            <w:tcW w:type="dxa" w:w="1872"/>
            <w:shd w:fill="FFFFFF"/>
          </w:tcPr>
          <w:p>
            <w:pPr>
              <w:spacing w:before="60" w:after="60"/>
              <w:jc w:val="center"/>
            </w:pPr>
            <w:r>
              <w:rPr>
                <w:b/>
                <w:color w:val="1E293B"/>
                <w:sz w:val="18"/>
              </w:rPr>
              <w:t>1. Ingestão / Download</w:t>
            </w:r>
          </w:p>
        </w:tc>
        <w:tc>
          <w:tcPr>
            <w:tcW w:type="dxa" w:w="1872"/>
            <w:shd w:fill="FFFFFF"/>
          </w:tcPr>
          <w:p>
            <w:pPr>
              <w:spacing w:before="60" w:after="60"/>
              <w:jc w:val="left"/>
            </w:pPr>
            <w:r>
              <w:rPr>
                <w:color w:val="1E293B"/>
                <w:sz w:val="18"/>
              </w:rPr>
              <w:t>scripts/coleta.py</w:t>
            </w:r>
          </w:p>
        </w:tc>
        <w:tc>
          <w:tcPr>
            <w:tcW w:type="dxa" w:w="1440"/>
            <w:shd w:fill="FFFFFF"/>
          </w:tcPr>
          <w:p>
            <w:pPr>
              <w:spacing w:before="60" w:after="60"/>
              <w:jc w:val="center"/>
            </w:pPr>
            <w:r>
              <w:rPr>
                <w:color w:val="1E293B"/>
                <w:sz w:val="18"/>
              </w:rPr>
              <w:t>12,4 s</w:t>
            </w:r>
          </w:p>
        </w:tc>
        <w:tc>
          <w:tcPr>
            <w:tcW w:type="dxa" w:w="1728"/>
            <w:shd w:fill="FFFFFF"/>
          </w:tcPr>
          <w:p>
            <w:pPr>
              <w:spacing w:before="60" w:after="60"/>
              <w:jc w:val="center"/>
            </w:pPr>
            <w:r>
              <w:rPr>
                <w:color w:val="1E293B"/>
                <w:sz w:val="18"/>
              </w:rPr>
              <w:t>~85.000 reg/s</w:t>
            </w:r>
          </w:p>
        </w:tc>
        <w:tc>
          <w:tcPr>
            <w:tcW w:type="dxa" w:w="2592"/>
            <w:shd w:fill="FFFFFF"/>
          </w:tcPr>
          <w:p>
            <w:pPr>
              <w:spacing w:before="60" w:after="60"/>
              <w:jc w:val="center"/>
            </w:pPr>
            <w:r>
              <w:rPr>
                <w:color w:val="1E293B"/>
                <w:sz w:val="18"/>
              </w:rPr>
              <w:t>Arquivos ZIP/CSV anuais (dados/bruto/)</w:t>
            </w:r>
          </w:p>
        </w:tc>
      </w:tr>
      <w:tr>
        <w:tc>
          <w:tcPr>
            <w:tcW w:type="dxa" w:w="1872"/>
            <w:shd w:fill="F8FAFC"/>
          </w:tcPr>
          <w:p>
            <w:pPr>
              <w:spacing w:before="60" w:after="60"/>
              <w:jc w:val="center"/>
            </w:pPr>
            <w:r>
              <w:rPr>
                <w:color w:val="1E293B"/>
                <w:sz w:val="18"/>
              </w:rPr>
              <w:t>2. Tratamento &amp; Limpeza</w:t>
            </w:r>
          </w:p>
        </w:tc>
        <w:tc>
          <w:tcPr>
            <w:tcW w:type="dxa" w:w="1872"/>
            <w:shd w:fill="F8FAFC"/>
          </w:tcPr>
          <w:p>
            <w:pPr>
              <w:spacing w:before="60" w:after="60"/>
              <w:jc w:val="left"/>
            </w:pPr>
            <w:r>
              <w:rPr>
                <w:color w:val="1E293B"/>
                <w:sz w:val="18"/>
              </w:rPr>
              <w:t>scripts/tratamento.py</w:t>
            </w:r>
          </w:p>
        </w:tc>
        <w:tc>
          <w:tcPr>
            <w:tcW w:type="dxa" w:w="1440"/>
            <w:shd w:fill="F8FAFC"/>
          </w:tcPr>
          <w:p>
            <w:pPr>
              <w:spacing w:before="60" w:after="60"/>
              <w:jc w:val="center"/>
            </w:pPr>
            <w:r>
              <w:rPr>
                <w:color w:val="1E293B"/>
                <w:sz w:val="18"/>
              </w:rPr>
              <w:t>8,1 s</w:t>
            </w:r>
          </w:p>
        </w:tc>
        <w:tc>
          <w:tcPr>
            <w:tcW w:type="dxa" w:w="1728"/>
            <w:shd w:fill="F8FAFC"/>
          </w:tcPr>
          <w:p>
            <w:pPr>
              <w:spacing w:before="60" w:after="60"/>
              <w:jc w:val="center"/>
            </w:pPr>
            <w:r>
              <w:rPr>
                <w:color w:val="1E293B"/>
                <w:sz w:val="18"/>
              </w:rPr>
              <w:t>~132.000 reg/s</w:t>
            </w:r>
          </w:p>
        </w:tc>
        <w:tc>
          <w:tcPr>
            <w:tcW w:type="dxa" w:w="2592"/>
            <w:shd w:fill="F8FAFC"/>
          </w:tcPr>
          <w:p>
            <w:pPr>
              <w:spacing w:before="60" w:after="60"/>
              <w:jc w:val="center"/>
            </w:pPr>
            <w:r>
              <w:rPr>
                <w:color w:val="1E293B"/>
                <w:sz w:val="18"/>
              </w:rPr>
              <w:t>queimadas_tratado.csv (163 MB)</w:t>
            </w:r>
          </w:p>
        </w:tc>
      </w:tr>
      <w:tr>
        <w:tc>
          <w:tcPr>
            <w:tcW w:type="dxa" w:w="1872"/>
            <w:shd w:fill="FFFFFF"/>
          </w:tcPr>
          <w:p>
            <w:pPr>
              <w:spacing w:before="60" w:after="60"/>
              <w:jc w:val="center"/>
            </w:pPr>
            <w:r>
              <w:rPr>
                <w:color w:val="1E293B"/>
                <w:sz w:val="18"/>
              </w:rPr>
              <w:t>3. Análise &amp; Métricas</w:t>
            </w:r>
          </w:p>
        </w:tc>
        <w:tc>
          <w:tcPr>
            <w:tcW w:type="dxa" w:w="1872"/>
            <w:shd w:fill="FFFFFF"/>
          </w:tcPr>
          <w:p>
            <w:pPr>
              <w:spacing w:before="60" w:after="60"/>
              <w:jc w:val="left"/>
            </w:pPr>
            <w:r>
              <w:rPr>
                <w:color w:val="1E293B"/>
                <w:sz w:val="18"/>
              </w:rPr>
              <w:t>scripts/analise.py</w:t>
            </w:r>
          </w:p>
        </w:tc>
        <w:tc>
          <w:tcPr>
            <w:tcW w:type="dxa" w:w="1440"/>
            <w:shd w:fill="FFFFFF"/>
          </w:tcPr>
          <w:p>
            <w:pPr>
              <w:spacing w:before="60" w:after="60"/>
              <w:jc w:val="center"/>
            </w:pPr>
            <w:r>
              <w:rPr>
                <w:color w:val="1E293B"/>
                <w:sz w:val="18"/>
              </w:rPr>
              <w:t>3,2 s</w:t>
            </w:r>
          </w:p>
        </w:tc>
        <w:tc>
          <w:tcPr>
            <w:tcW w:type="dxa" w:w="1728"/>
            <w:shd w:fill="FFFFFF"/>
          </w:tcPr>
          <w:p>
            <w:pPr>
              <w:spacing w:before="60" w:after="60"/>
              <w:jc w:val="center"/>
            </w:pPr>
            <w:r>
              <w:rPr>
                <w:color w:val="1E293B"/>
                <w:sz w:val="18"/>
              </w:rPr>
              <w:t>~335.000 reg/s</w:t>
            </w:r>
          </w:p>
        </w:tc>
        <w:tc>
          <w:tcPr>
            <w:tcW w:type="dxa" w:w="2592"/>
            <w:shd w:fill="FFFFFF"/>
          </w:tcPr>
          <w:p>
            <w:pPr>
              <w:spacing w:before="60" w:after="60"/>
              <w:jc w:val="center"/>
            </w:pPr>
            <w:r>
              <w:rPr>
                <w:color w:val="1E293B"/>
                <w:sz w:val="18"/>
              </w:rPr>
              <w:t>10 arquivos CSV em outputs/analise/</w:t>
            </w:r>
          </w:p>
        </w:tc>
      </w:tr>
      <w:tr>
        <w:tc>
          <w:tcPr>
            <w:tcW w:type="dxa" w:w="1872"/>
            <w:shd w:fill="F8FAFC"/>
          </w:tcPr>
          <w:p>
            <w:pPr>
              <w:spacing w:before="60" w:after="60"/>
              <w:jc w:val="center"/>
            </w:pPr>
            <w:r>
              <w:rPr>
                <w:color w:val="1E293B"/>
                <w:sz w:val="18"/>
              </w:rPr>
              <w:t>4. Geração Gráfica (300 DPI)</w:t>
            </w:r>
          </w:p>
        </w:tc>
        <w:tc>
          <w:tcPr>
            <w:tcW w:type="dxa" w:w="1872"/>
            <w:shd w:fill="F8FAFC"/>
          </w:tcPr>
          <w:p>
            <w:pPr>
              <w:spacing w:before="60" w:after="60"/>
              <w:jc w:val="left"/>
            </w:pPr>
            <w:r>
              <w:rPr>
                <w:color w:val="1E293B"/>
                <w:sz w:val="18"/>
              </w:rPr>
              <w:t>scripts/graficos.py</w:t>
            </w:r>
          </w:p>
        </w:tc>
        <w:tc>
          <w:tcPr>
            <w:tcW w:type="dxa" w:w="1440"/>
            <w:shd w:fill="F8FAFC"/>
          </w:tcPr>
          <w:p>
            <w:pPr>
              <w:spacing w:before="60" w:after="60"/>
              <w:jc w:val="center"/>
            </w:pPr>
            <w:r>
              <w:rPr>
                <w:color w:val="1E293B"/>
                <w:sz w:val="18"/>
              </w:rPr>
              <w:t>7,5 s</w:t>
            </w:r>
          </w:p>
        </w:tc>
        <w:tc>
          <w:tcPr>
            <w:tcW w:type="dxa" w:w="1728"/>
            <w:shd w:fill="F8FAFC"/>
          </w:tcPr>
          <w:p>
            <w:pPr>
              <w:spacing w:before="60" w:after="60"/>
              <w:jc w:val="center"/>
            </w:pPr>
            <w:r>
              <w:rPr>
                <w:color w:val="1E293B"/>
                <w:sz w:val="18"/>
              </w:rPr>
              <w:t>23 plots HD</w:t>
            </w:r>
          </w:p>
        </w:tc>
        <w:tc>
          <w:tcPr>
            <w:tcW w:type="dxa" w:w="2592"/>
            <w:shd w:fill="F8FAFC"/>
          </w:tcPr>
          <w:p>
            <w:pPr>
              <w:spacing w:before="60" w:after="60"/>
              <w:jc w:val="center"/>
            </w:pPr>
            <w:r>
              <w:rPr>
                <w:color w:val="1E293B"/>
                <w:sz w:val="18"/>
              </w:rPr>
              <w:t>Arquivos PNG em outputs/graficos/</w:t>
            </w:r>
          </w:p>
        </w:tc>
      </w:tr>
      <w:tr>
        <w:tc>
          <w:tcPr>
            <w:tcW w:type="dxa" w:w="1872"/>
            <w:shd w:fill="FFFFFF"/>
          </w:tcPr>
          <w:p>
            <w:pPr>
              <w:spacing w:before="60" w:after="60"/>
              <w:jc w:val="center"/>
            </w:pPr>
            <w:r>
              <w:rPr>
                <w:color w:val="1E293B"/>
                <w:sz w:val="18"/>
              </w:rPr>
              <w:t>5. Compilação PDF</w:t>
            </w:r>
          </w:p>
        </w:tc>
        <w:tc>
          <w:tcPr>
            <w:tcW w:type="dxa" w:w="1872"/>
            <w:shd w:fill="FFFFFF"/>
          </w:tcPr>
          <w:p>
            <w:pPr>
              <w:spacing w:before="60" w:after="60"/>
              <w:jc w:val="left"/>
            </w:pPr>
            <w:r>
              <w:rPr>
                <w:color w:val="1E293B"/>
                <w:sz w:val="18"/>
              </w:rPr>
              <w:t>scripts/relatorio.py</w:t>
            </w:r>
          </w:p>
        </w:tc>
        <w:tc>
          <w:tcPr>
            <w:tcW w:type="dxa" w:w="1440"/>
            <w:shd w:fill="FFFFFF"/>
          </w:tcPr>
          <w:p>
            <w:pPr>
              <w:spacing w:before="60" w:after="60"/>
              <w:jc w:val="center"/>
            </w:pPr>
            <w:r>
              <w:rPr>
                <w:color w:val="1E293B"/>
                <w:sz w:val="18"/>
              </w:rPr>
              <w:t>3,2 s</w:t>
            </w:r>
          </w:p>
        </w:tc>
        <w:tc>
          <w:tcPr>
            <w:tcW w:type="dxa" w:w="1728"/>
            <w:shd w:fill="FFFFFF"/>
          </w:tcPr>
          <w:p>
            <w:pPr>
              <w:spacing w:before="60" w:after="60"/>
              <w:jc w:val="center"/>
            </w:pPr>
            <w:r>
              <w:rPr>
                <w:color w:val="1E293B"/>
                <w:sz w:val="18"/>
              </w:rPr>
              <w:t>1 doc A4 completo</w:t>
            </w:r>
          </w:p>
        </w:tc>
        <w:tc>
          <w:tcPr>
            <w:tcW w:type="dxa" w:w="2592"/>
            <w:shd w:fill="FFFFFF"/>
          </w:tcPr>
          <w:p>
            <w:pPr>
              <w:spacing w:before="60" w:after="60"/>
              <w:jc w:val="center"/>
            </w:pPr>
            <w:r>
              <w:rPr>
                <w:color w:val="1E293B"/>
                <w:sz w:val="18"/>
              </w:rPr>
              <w:t>relatorio_oficial_obidos.pdf (4.5 MB)</w:t>
            </w:r>
          </w:p>
        </w:tc>
      </w:tr>
      <w:tr>
        <w:tc>
          <w:tcPr>
            <w:tcW w:type="dxa" w:w="1872"/>
            <w:shd w:fill="F8FAFC"/>
          </w:tcPr>
          <w:p>
            <w:pPr>
              <w:spacing w:before="60" w:after="60"/>
              <w:jc w:val="center"/>
            </w:pPr>
            <w:r>
              <w:rPr>
                <w:color w:val="1E293B"/>
                <w:sz w:val="18"/>
              </w:rPr>
              <w:t>Total Pipeline Ponta a Ponta</w:t>
            </w:r>
          </w:p>
        </w:tc>
        <w:tc>
          <w:tcPr>
            <w:tcW w:type="dxa" w:w="1872"/>
            <w:shd w:fill="F8FAFC"/>
          </w:tcPr>
          <w:p>
            <w:pPr>
              <w:spacing w:before="60" w:after="60"/>
              <w:jc w:val="left"/>
            </w:pPr>
            <w:r>
              <w:rPr>
                <w:color w:val="1E293B"/>
                <w:sz w:val="18"/>
              </w:rPr>
              <w:t>run_pipeline.py</w:t>
            </w:r>
          </w:p>
        </w:tc>
        <w:tc>
          <w:tcPr>
            <w:tcW w:type="dxa" w:w="1440"/>
            <w:shd w:fill="F8FAFC"/>
          </w:tcPr>
          <w:p>
            <w:pPr>
              <w:spacing w:before="60" w:after="60"/>
              <w:jc w:val="center"/>
            </w:pPr>
            <w:r>
              <w:rPr>
                <w:color w:val="1E293B"/>
                <w:sz w:val="18"/>
              </w:rPr>
              <w:t>34,4 s</w:t>
            </w:r>
          </w:p>
        </w:tc>
        <w:tc>
          <w:tcPr>
            <w:tcW w:type="dxa" w:w="1728"/>
            <w:shd w:fill="F8FAFC"/>
          </w:tcPr>
          <w:p>
            <w:pPr>
              <w:spacing w:before="60" w:after="60"/>
              <w:jc w:val="center"/>
            </w:pPr>
            <w:r>
              <w:rPr>
                <w:color w:val="1E293B"/>
                <w:sz w:val="18"/>
              </w:rPr>
              <w:t>Completo</w:t>
            </w:r>
          </w:p>
        </w:tc>
        <w:tc>
          <w:tcPr>
            <w:tcW w:type="dxa" w:w="2592"/>
            <w:shd w:fill="F8FAFC"/>
          </w:tcPr>
          <w:p>
            <w:pPr>
              <w:spacing w:before="60" w:after="60"/>
              <w:jc w:val="center"/>
            </w:pPr>
            <w:r>
              <w:rPr>
                <w:color w:val="1E293B"/>
                <w:sz w:val="18"/>
              </w:rPr>
              <w:t>Todos os relatórios, tabelas e gráficos</w:t>
            </w:r>
          </w:p>
        </w:tc>
      </w:tr>
    </w:tbl>
    <w:p>
      <w:pPr>
        <w:spacing w:before="0" w:after="160"/>
      </w:pPr>
    </w:p>
    <w:p>
      <w:pPr>
        <w:spacing w:line="288" w:lineRule="auto" w:after="120"/>
        <w:jc w:val="both"/>
      </w:pPr>
      <w:r>
        <w:rPr>
          <w:i w:val="0"/>
          <w:color w:val="1E293B"/>
          <w:sz w:val="22"/>
        </w:rPr>
        <w:t>O tempo total de 34,4 segundos para processamento de mais de 1 milhão de registros e geração completa de 23 gráficos, 10 tabelas analíticas e 1 relatório técnico oficial em PDF demonstra a alta eficiência da arquitetura implementada.</w:t>
      </w:r>
    </w:p>
    <w:p>
      <w:pPr>
        <w:keepNext/>
        <w:spacing w:before="320" w:after="120"/>
        <w:jc w:val="left"/>
      </w:pPr>
      <w:r>
        <w:rPr>
          <w:rFonts w:ascii="Calibri" w:hAnsi="Calibri"/>
          <w:b/>
          <w:color w:val="0F172A"/>
          <w:sz w:val="28"/>
        </w:rPr>
        <w:t>6. Considerações Finais e Trabalhos Futuros</w:t>
      </w:r>
    </w:p>
    <w:p>
      <w:pPr>
        <w:spacing w:line="288" w:lineRule="auto" w:after="120"/>
        <w:jc w:val="both"/>
      </w:pPr>
      <w:r>
        <w:rPr>
          <w:i w:val="0"/>
          <w:color w:val="1E293B"/>
          <w:sz w:val="22"/>
        </w:rPr>
        <w:t>O desenvolvimento do Projeto Queimadas Pro atingiu integralmente os objetivos propostos, oferecendo uma plataforma computacional robusta, acessível e de alto impacto para monitoramento de queimadas e suporte à tomada de decisão ambiental no Brasil.</w:t>
      </w:r>
    </w:p>
    <w:p>
      <w:pPr>
        <w:spacing w:line="288" w:lineRule="auto" w:after="120"/>
        <w:jc w:val="both"/>
      </w:pPr>
      <w:r>
        <w:rPr>
          <w:i w:val="0"/>
          <w:color w:val="1E293B"/>
          <w:sz w:val="22"/>
        </w:rPr>
        <w:t>As principais contribuições científicas e tecnológicas do trabalho incluem:</w:t>
      </w:r>
    </w:p>
    <w:p>
      <w:pPr>
        <w:pStyle w:val="ListBullet"/>
        <w:spacing w:line="276" w:lineRule="auto" w:after="60"/>
        <w:jc w:val="both"/>
      </w:pPr>
      <w:r>
        <w:rPr>
          <w:b/>
          <w:sz w:val="21"/>
        </w:rPr>
        <w:t xml:space="preserve">1. Pipeline ETL Otimizado: </w:t>
      </w:r>
      <w:r>
        <w:rPr>
          <w:color w:val="1E293B"/>
          <w:sz w:val="21"/>
        </w:rPr>
        <w:t>Automação completa do ciclo de vida de dados abertos do INPE com streaming e indexação rápida;</w:t>
      </w:r>
    </w:p>
    <w:p>
      <w:pPr>
        <w:pStyle w:val="ListBullet"/>
        <w:spacing w:line="276" w:lineRule="auto" w:after="60"/>
        <w:jc w:val="both"/>
      </w:pPr>
      <w:r>
        <w:rPr>
          <w:b/>
          <w:sz w:val="21"/>
        </w:rPr>
        <w:t xml:space="preserve">2. Dashboard WebGIS Intuitivo: </w:t>
      </w:r>
      <w:r>
        <w:rPr>
          <w:color w:val="1E293B"/>
          <w:sz w:val="21"/>
        </w:rPr>
        <w:t>Interface moderna com seis abas analíticas, permitindo desde diagnósticos rápidos de risco com indicadores visuais até exploração espacial minuciosa com mapas de calor e clusterização de pontos;</w:t>
      </w:r>
    </w:p>
    <w:p>
      <w:pPr>
        <w:pStyle w:val="ListBullet"/>
        <w:spacing w:line="276" w:lineRule="auto" w:after="60"/>
        <w:jc w:val="both"/>
      </w:pPr>
      <w:r>
        <w:rPr>
          <w:b/>
          <w:sz w:val="21"/>
        </w:rPr>
        <w:t xml:space="preserve">3. Interoperabilidade Plena: </w:t>
      </w:r>
      <w:r>
        <w:rPr>
          <w:color w:val="1E293B"/>
          <w:sz w:val="21"/>
        </w:rPr>
        <w:t>Exportação direta para quatro formatos abertos (CSV, Excel, GeoJSON e Shapefile), eliminando barreiras de integração com softwares SIG legados e fluxos corporativos;</w:t>
      </w:r>
    </w:p>
    <w:p>
      <w:pPr>
        <w:pStyle w:val="ListBullet"/>
        <w:spacing w:line="276" w:lineRule="auto" w:after="60"/>
        <w:jc w:val="both"/>
      </w:pPr>
      <w:r>
        <w:rPr>
          <w:b/>
          <w:sz w:val="21"/>
        </w:rPr>
        <w:t xml:space="preserve">4. Relatórios Técnicos Automatizados: </w:t>
      </w:r>
      <w:r>
        <w:rPr>
          <w:color w:val="1E293B"/>
          <w:sz w:val="21"/>
        </w:rPr>
        <w:t>Geração em lote de relatórios padrão A4 com qualidade de publicação governamental;</w:t>
      </w:r>
    </w:p>
    <w:p>
      <w:pPr>
        <w:pStyle w:val="ListBullet"/>
        <w:spacing w:line="276" w:lineRule="auto" w:after="60"/>
        <w:jc w:val="both"/>
      </w:pPr>
      <w:r>
        <w:rPr>
          <w:b/>
          <w:sz w:val="21"/>
        </w:rPr>
        <w:t xml:space="preserve">5. Diagnóstico Geoespacial: </w:t>
      </w:r>
      <w:r>
        <w:rPr>
          <w:color w:val="1E293B"/>
          <w:sz w:val="21"/>
        </w:rPr>
        <w:t>Comprovação empírica do aumento atípico de +191,8% em Óbidos durante a estiagem extrema de 2023 e consolidação do município no 11º lugar do ranking paraense.</w:t>
      </w:r>
    </w:p>
    <w:p>
      <w:pPr>
        <w:spacing w:line="288" w:lineRule="auto" w:after="120"/>
        <w:jc w:val="both"/>
      </w:pPr>
      <w:r>
        <w:rPr>
          <w:i w:val="0"/>
          <w:color w:val="1E293B"/>
          <w:sz w:val="22"/>
        </w:rPr>
        <w:t>Como trabalhos futuros, propõe-se:</w:t>
      </w:r>
    </w:p>
    <w:p>
      <w:pPr>
        <w:pStyle w:val="ListBullet"/>
        <w:spacing w:line="276" w:lineRule="auto" w:after="60"/>
        <w:jc w:val="both"/>
      </w:pPr>
      <w:r>
        <w:rPr>
          <w:b/>
          <w:sz w:val="21"/>
        </w:rPr>
        <w:t xml:space="preserve">a) Infraestrutura Espacial: </w:t>
      </w:r>
      <w:r>
        <w:rPr>
          <w:color w:val="1E293B"/>
          <w:sz w:val="21"/>
        </w:rPr>
        <w:t>Integração com bancos de dados relacionais espaciais (PostGIS) e publicação de camadas OGC padronizadas via GeoServer (WMS/WFS);</w:t>
      </w:r>
    </w:p>
    <w:p>
      <w:pPr>
        <w:pStyle w:val="ListBullet"/>
        <w:spacing w:line="276" w:lineRule="auto" w:after="60"/>
        <w:jc w:val="both"/>
      </w:pPr>
      <w:r>
        <w:rPr>
          <w:b/>
          <w:sz w:val="21"/>
        </w:rPr>
        <w:t xml:space="preserve">b) Inteligência Artificial Preditiva: </w:t>
      </w:r>
      <w:r>
        <w:rPr>
          <w:color w:val="1E293B"/>
          <w:sz w:val="21"/>
        </w:rPr>
        <w:t>Desenvolvimento de modelos preditivos baseados em Machine Learning (XGBoost, Random Forest e LSTM) para previsão de risco de ignição a partir de variáveis meteorológicas (temperatura, déficit de pressão de vapor e precipitação acumulada);</w:t>
      </w:r>
    </w:p>
    <w:p>
      <w:pPr>
        <w:pStyle w:val="ListBullet"/>
        <w:spacing w:line="276" w:lineRule="auto" w:after="60"/>
        <w:jc w:val="both"/>
      </w:pPr>
      <w:r>
        <w:rPr>
          <w:b/>
          <w:sz w:val="21"/>
        </w:rPr>
        <w:t xml:space="preserve">c) Alertas em Tempo Real: </w:t>
      </w:r>
      <w:r>
        <w:rPr>
          <w:color w:val="1E293B"/>
          <w:sz w:val="21"/>
        </w:rPr>
        <w:t>Módulo de alertas automatizados com envio de notificações em tempo real via Telegram e Webhooks para brigadas de combate a incêndios.</w:t>
      </w:r>
    </w:p>
    <w:p>
      <w:pPr>
        <w:keepNext/>
        <w:spacing w:before="320" w:after="120"/>
        <w:jc w:val="left"/>
      </w:pPr>
      <w:r>
        <w:rPr>
          <w:rFonts w:ascii="Calibri" w:hAnsi="Calibri"/>
          <w:b/>
          <w:color w:val="0F172A"/>
          <w:sz w:val="28"/>
        </w:rPr>
        <w:t>7. Referências Bibliográficas</w:t>
      </w:r>
    </w:p>
    <w:p>
      <w:pPr>
        <w:spacing w:line="288" w:lineRule="auto" w:after="120"/>
        <w:jc w:val="both"/>
      </w:pPr>
      <w:r>
        <w:rPr>
          <w:i w:val="0"/>
          <w:color w:val="1E293B"/>
          <w:sz w:val="22"/>
        </w:rPr>
        <w:t>ALENCAR, A. et al. Amazônia em Chamas: O fogo e o desmatamento no bioma no período 2019-2021. Brasília: Instituto de Pesquisa Ambiental da Amazônia (IPAM), 2022.</w:t>
      </w:r>
    </w:p>
    <w:p>
      <w:pPr>
        <w:spacing w:line="288" w:lineRule="auto" w:after="120"/>
        <w:jc w:val="both"/>
      </w:pPr>
      <w:r>
        <w:rPr>
          <w:i w:val="0"/>
          <w:color w:val="1E293B"/>
          <w:sz w:val="22"/>
        </w:rPr>
        <w:t>GIGLIO, L.; SCHROEDER, W.; JUSTICE, C. O. The collection 6 MODIS active fire detection algorithm and fire products. Remote Sensing of Environment, v. 178, p. 31-41, 2016.</w:t>
      </w:r>
    </w:p>
    <w:p>
      <w:pPr>
        <w:spacing w:line="288" w:lineRule="auto" w:after="120"/>
        <w:jc w:val="both"/>
      </w:pPr>
      <w:r>
        <w:rPr>
          <w:i w:val="0"/>
          <w:color w:val="1E293B"/>
          <w:sz w:val="22"/>
        </w:rPr>
        <w:t>INSTITUTO NACIONAL DE PESQUISAS ESPACIAIS (INPE). Programa Queimadas: Monitoramento dos Focos Ativos e Estimativa de Risco de Fogo. São José dos Campos: INPE, 2024. Disponível em: &lt;https://dataserver-coids.inpe.br/queimadas/&gt;. Acesso em: 26 ago. 2026.</w:t>
      </w:r>
    </w:p>
    <w:p>
      <w:pPr>
        <w:spacing w:line="288" w:lineRule="auto" w:after="120"/>
        <w:jc w:val="both"/>
      </w:pPr>
      <w:r>
        <w:rPr>
          <w:i w:val="0"/>
          <w:color w:val="1E293B"/>
          <w:sz w:val="22"/>
        </w:rPr>
        <w:t>KLEPPMANN, M. Designing Data-Intensive Applications: The Big Ideas Behind Reliable, Scalable, and Maintainable Systems. Sebastopol: O'Reilly Media, 2017.</w:t>
      </w:r>
    </w:p>
    <w:p>
      <w:pPr>
        <w:spacing w:line="288" w:lineRule="auto" w:after="120"/>
        <w:jc w:val="both"/>
      </w:pPr>
      <w:r>
        <w:rPr>
          <w:i w:val="0"/>
          <w:color w:val="1E293B"/>
          <w:sz w:val="22"/>
        </w:rPr>
        <w:t>MALCZEWSKI, J. GIS-based multicriteria decision analysis: a survey of the literature. International Journal of Geographical Information Science, v. 20, n. 7, p. 703-726, 2006.</w:t>
      </w:r>
    </w:p>
    <w:p>
      <w:pPr>
        <w:spacing w:line="288" w:lineRule="auto" w:after="120"/>
        <w:jc w:val="both"/>
      </w:pPr>
      <w:r>
        <w:rPr>
          <w:i w:val="0"/>
          <w:color w:val="1E293B"/>
          <w:sz w:val="22"/>
        </w:rPr>
        <w:t>SETZER, A. W. et al. Metodologia do Produto Focos de Queimadas do INPE. São José dos Campos: Instituto Nacional de Pesquisas Espaciais (INPE), 2020.</w:t>
      </w:r>
    </w:p>
    <w:p>
      <w:pPr>
        <w:spacing w:line="288" w:lineRule="auto" w:after="120"/>
        <w:jc w:val="both"/>
      </w:pPr>
      <w:r>
        <w:rPr>
          <w:i w:val="0"/>
          <w:color w:val="1E293B"/>
          <w:sz w:val="22"/>
        </w:rPr>
        <w:t>SHEKHAR, S.; XIONG, H.; ZHOU, X. Encyclopedia of GIS. 2. ed. Cham: Springer International Publishing, 2016.</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