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übersetze komplexe Anforderungen in robuste, skalierbare und langfristig tragfähige Systeme. Dabei arbeite ich an der Schnittstelle von moderner Software, Plattformen, Infrastruktur und KI-nahen Workflows – mit einem klaren Fokus auf Lösungen, die technisch sauber, sicher betreibbar und in der Praxis wirklich brauchbar sind.</w:t>
            </w:r>
          </w:p>
          <w:p>
            <w:pPr>
              <w:pStyle w:val="Heading2"/>
              <w:pBdr>
                <w:bottom w:val="single" w:color="auto" w:sz="6" w:space="1"/>
              </w:pBdr>
            </w:pPr>
            <w:r>
              <w:t xml:space="preserve">Profil</w:t>
            </w:r>
          </w:p>
          <w:p>
            <w:pPr>
              <w:spacing w:after="100"/>
            </w:pPr>
            <w:r>
              <w:rPr>
                <w:sz w:val="18"/>
                <w:szCs w:val="18"/>
              </w:rPr>
              <w:t xml:space="preserve">Mit über zwei Jahrzehnten praktischer Erfahrung in IT, Infrastruktur und Security entwickle ich sichere, skalierbare und langfristig tragfähige Systeme. Mein Fokus liegt auf der Architektur und Umsetzung technischer Lösungen – von Linux- und Netzwerk-Infrastrukturen über Security- und Compliance-nahe Plattformen bis hin zu moderner Software für mandantenfähige SaaS-Produkte.</w:t>
            </w:r>
          </w:p>
          <w:p>
            <w:pPr>
              <w:spacing w:after="200"/>
            </w:pPr>
            <w:r>
              <w:rPr>
                <w:sz w:val="18"/>
                <w:szCs w:val="18"/>
              </w:rPr>
              <w:t xml:space="preserve">Ich arbeite an der Schnittstelle von technischer Tiefe und klarer Umsetzung. Ob Plattformarchitektur, Security-by-Design, Infrastrukturmodernisierung oder die Übersetzung regulatorischer Anforderungen in belastbare technische Systeme: Ich verbinde Architektur, Engineering und Pragmatismus, damit aus Komplexität funktionierende Lösungen werden.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Technische Programmverantwortung für die IPv6-Migration bei DRV RP und DRV BW mit Fokus auf Migrationsplanung, Umsetzungsstruktur und übergreifende technische Steuerung.</w:t>
            </w:r>
          </w:p>
          <w:p>
            <w:pPr>
              <w:pStyle w:val="ListParagraph"/>
              <w:numPr>
                <w:ilvl w:val="0"/>
                <w:numId w:val="1"/>
              </w:numPr>
            </w:pPr>
            <w:r>
              <w:rPr>
                <w:b w:val="false"/>
                <w:bCs w:val="false"/>
                <w:color w:val="07090B"/>
                <w:sz w:val="18"/>
                <w:szCs w:val="18"/>
              </w:rPr>
              <w:t xml:space="preserve">Konzeption und Einführung eines operativen Steuerungsmodells mit Dashboard, Action Board, KPI-Portfolio, Risikoregister und Entscheidungsindex zur strukturierten Übersetzung technischer Themen in belastbare Delivery-Artefakte.</w:t>
            </w:r>
          </w:p>
          <w:p>
            <w:pPr>
              <w:pStyle w:val="ListParagraph"/>
              <w:numPr>
                <w:ilvl w:val="0"/>
                <w:numId w:val="1"/>
              </w:numPr>
            </w:pPr>
            <w:r>
              <w:rPr>
                <w:b w:val="false"/>
                <w:bCs w:val="false"/>
                <w:color w:val="07090B"/>
                <w:sz w:val="18"/>
                <w:szCs w:val="18"/>
              </w:rPr>
              <w:t xml:space="preserve">Koordination der technischen Vorarbeiten für Architektur und Rollout über IPv6-Adressierung, Segmentierung, Dual-Stack-Zielbild, Testlabor-Planung und teamübergreifende Abhängigkeiten hinweg.</w:t>
            </w:r>
          </w:p>
          <w:p>
            <w:pPr>
              <w:pStyle w:val="ListParagraph"/>
              <w:numPr>
                <w:ilvl w:val="0"/>
                <w:numId w:val="1"/>
              </w:numPr>
            </w:pPr>
            <w:r>
              <w:rPr>
                <w:b w:val="false"/>
                <w:bCs w:val="false"/>
                <w:color w:val="07090B"/>
                <w:sz w:val="18"/>
                <w:szCs w:val="18"/>
              </w:rPr>
              <w:t xml:space="preserve">Begleitung sicherheits- und compliance-relevanter Anforderungen mit Bezug auf BSI, NIS2 und KRITIS sowie deren Überführung in nachvollziehbare Nachweise, Risiken und Management-Reporting.</w:t>
            </w:r>
          </w:p>
          <w:p>
            <w:pPr>
              <w:pStyle w:val="ListParagraph"/>
              <w:numPr>
                <w:ilvl w:val="0"/>
                <w:numId w:val="1"/>
              </w:numPr>
            </w:pPr>
            <w:r>
              <w:rPr>
                <w:b/>
                <w:bCs/>
                <w:color w:val="1B6E5A"/>
                <w:sz w:val="18"/>
                <w:szCs w:val="18"/>
              </w:rPr>
              <w:t xml:space="preserve">Erfolg: Etablierung eines wiederverwendbaren Intake-to-Governance-Workflows zur systematischen Erfassung technischer Actions, Risiken, offener Punkte und Nachweisanforderungen.</w:t>
            </w:r>
          </w:p>
          <w:p>
            <w:pPr>
              <w:pStyle w:val="ListParagraph"/>
              <w:numPr>
                <w:ilvl w:val="0"/>
                <w:numId w:val="1"/>
              </w:numPr>
            </w:pPr>
            <w:r>
              <w:rPr>
                <w:b/>
                <w:bCs/>
                <w:color w:val="1B6E5A"/>
                <w:sz w:val="18"/>
                <w:szCs w:val="18"/>
              </w:rPr>
              <w:t xml:space="preserve">Erfolg: Schaffung einer operativen Baseline für die technische Programmausführung mit messbaren KPIs, klaren Verantwortlichkeiten und transparenter Entscheidungsgrundlage.</w:t>
            </w:r>
          </w:p>
          <w:p/>
          <w:p>
            <w:r>
              <w:rPr>
                <w:b/>
                <w:bCs/>
                <w:sz w:val="20"/>
                <w:szCs w:val="20"/>
              </w:rPr>
              <w:t xml:space="preserve">Technische Teilprojektleitung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Etablierung einer modernisierten Backup-Baseline mit Verbesserungen bei Datensicherheit, Compliance und Wiederherstellbarkeit über mehrere Fachbereiche hinweg.</w:t>
            </w:r>
          </w:p>
          <w:p>
            <w:pPr>
              <w:pStyle w:val="ListParagraph"/>
              <w:numPr>
                <w:ilvl w:val="0"/>
                <w:numId w:val="1"/>
              </w:numPr>
            </w:pPr>
            <w:r>
              <w:rPr>
                <w:b/>
                <w:bCs/>
                <w:color w:val="1B6E5A"/>
                <w:sz w:val="18"/>
                <w:szCs w:val="18"/>
              </w:rPr>
              <w:t xml:space="preserve">Erfolg: Beitrag zur technischen Vorbereitung und koordinierten Umsetzung der Verlagerung von zwei Rechenzentren mit minimierten Ausfallzeiten und abgestimmten Infrastrukturabhängigkeiten.</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Implementierung von IT-Sicherheitsmaßnahmen, die ein SOC-2-Audit ohne Beanstandungen unterstützten und damit zentrale Kundenanforderungen absicherten.</w:t>
            </w:r>
          </w:p>
          <w:p>
            <w:pPr>
              <w:pStyle w:val="ListParagraph"/>
              <w:numPr>
                <w:ilvl w:val="0"/>
                <w:numId w:val="1"/>
              </w:numPr>
            </w:pPr>
            <w:r>
              <w:rPr>
                <w:b/>
                <w:bCs/>
                <w:color w:val="1B6E5A"/>
                <w:sz w:val="18"/>
                <w:szCs w:val="18"/>
              </w:rPr>
              <w:t xml:space="preserve">Erfolg: Integration der SSO-Infrastruktur über mehrere Plattformen hinweg mit Verbesserungen bei Sicherheit, Zugriffskonsistenz und Nutzererlebnis.</w:t>
            </w:r>
          </w:p>
          <w:p>
            <w:pPr>
              <w:pStyle w:val="ListParagraph"/>
              <w:numPr>
                <w:ilvl w:val="0"/>
                <w:numId w:val="1"/>
              </w:numPr>
            </w:pPr>
            <w:r>
              <w:rPr>
                <w:b/>
                <w:bCs/>
                <w:color w:val="1B6E5A"/>
                <w:sz w:val="18"/>
                <w:szCs w:val="18"/>
              </w:rPr>
              <w:t xml:space="preserve">Erfolg: Beitrag zur erfolgreichen ISO-27001-Zertifizierung innerhalb eines engen Zeitrahmens durch die strukturierte Umsetzung von Anforderungen, Kontrollen und Nachweisen.</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Grundschutz, NIST und MITRE.</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Pr>
              <w:pStyle w:val="ListParagraph"/>
              <w:numPr>
                <w:ilvl w:val="0"/>
                <w:numId w:val="1"/>
              </w:numPr>
            </w:pPr>
            <w:r>
              <w:rPr>
                <w:b/>
                <w:bCs/>
                <w:color w:val="1B6E5A"/>
                <w:sz w:val="18"/>
                <w:szCs w:val="18"/>
              </w:rPr>
              <w:t xml:space="preserve">Erfolg: Entwicklung und Automatisierung eines Schwachstellenmanagement-Ansatzes mit schnelleren Reaktionszeiten und verbesserter Transparenz im Incident Handling.</w:t>
            </w:r>
          </w:p>
          <w:p>
            <w:pPr>
              <w:pStyle w:val="ListParagraph"/>
              <w:numPr>
                <w:ilvl w:val="0"/>
                <w:numId w:val="1"/>
              </w:numPr>
            </w:pPr>
            <w:r>
              <w:rPr>
                <w:b/>
                <w:bCs/>
                <w:color w:val="1B6E5A"/>
                <w:sz w:val="18"/>
                <w:szCs w:val="18"/>
              </w:rPr>
              <w:t xml:space="preserve">Erfolg: Einführung von Sicherheitsrichtlinien und technischen Sicherheitsvorgaben, die als wiederverwendbare Best Practices im Unternehmen übernommen wurden.</w:t>
            </w:r>
          </w:p>
          <w:p/>
          <w:p>
            <w:r>
              <w:rPr>
                <w:b/>
                <w:bCs/>
                <w:sz w:val="20"/>
                <w:szCs w:val="20"/>
              </w:rPr>
              <w:t xml:space="preserve">Senior Engineer Infrastruktur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Beitrag zur koordinierten Umsetzung eines erfolgreichen Rechenzentrumsumzugs mit abgestimmten Infrastrukturabhängigkeiten und stabiler Betriebsüberführung.</w:t>
            </w:r>
          </w:p>
          <w:p>
            <w:pPr>
              <w:pStyle w:val="ListParagraph"/>
              <w:numPr>
                <w:ilvl w:val="0"/>
                <w:numId w:val="1"/>
              </w:numPr>
            </w:pPr>
            <w:r>
              <w:rPr>
                <w:b/>
                <w:bCs/>
                <w:color w:val="1B6E5A"/>
                <w:sz w:val="18"/>
                <w:szCs w:val="18"/>
              </w:rPr>
              <w:t xml:space="preserve">Erfolg: Einführung von IPv6 im Unternehmensumfeld als Beitrag zur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E-Mail-Archivierung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Systemarchitekt für die unternehmensweite E-Mail-Archivierungsplattform mit Verantwortung für Architektur, technische Weiterentwicklung und langfristige Wartbarkeit.</w:t>
            </w:r>
          </w:p>
          <w:p>
            <w:pPr>
              <w:pStyle w:val="ListParagraph"/>
              <w:numPr>
                <w:ilvl w:val="0"/>
                <w:numId w:val="1"/>
              </w:numPr>
            </w:pPr>
            <w:r>
              <w:rPr>
                <w:b w:val="false"/>
                <w:bCs w:val="false"/>
                <w:color w:val="07090B"/>
                <w:sz w:val="18"/>
                <w:szCs w:val="18"/>
              </w:rPr>
              <w:t xml:space="preserve">Architektur, Design und Implementierung eines rechtssicheren Archivs für mehr als 50.000 Nutzer mit unveränderbarer Aufbewahrung, Prüfbarkeit und dauerhaft tragfähigem Betrieb.</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für die effiziente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Zusätzliche Verantwortung in der umliegenden Mail-Infrastruktur, darunter dovecot, postfix, Linux-basierte Dienste,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Anforderungen.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Verantwortung auf Vorstandsebene für Informationssicherheit, Datenschutz und Compliance-Themen.</w:t>
            </w:r>
          </w:p>
          <w:p>
            <w:pPr>
              <w:pStyle w:val="ListParagraph"/>
              <w:numPr>
                <w:ilvl w:val="0"/>
                <w:numId w:val="1"/>
              </w:numPr>
            </w:pPr>
            <w:r>
              <w:rPr>
                <w:b w:val="false"/>
                <w:bCs w:val="false"/>
                <w:color w:val="07090B"/>
                <w:sz w:val="18"/>
                <w:szCs w:val="18"/>
              </w:rPr>
              <w:t xml:space="preserve">Vertrauenswürdiger Ansprechpartner für Security-, Infrastruktur- und regulatorische Anforderungen in Kundenprojekten.</w:t>
            </w:r>
          </w:p>
          <w:p>
            <w:pPr>
              <w:pStyle w:val="ListParagraph"/>
              <w:numPr>
                <w:ilvl w:val="0"/>
                <w:numId w:val="1"/>
              </w:numPr>
            </w:pPr>
            <w:r>
              <w:rPr>
                <w:b w:val="false"/>
                <w:bCs w:val="false"/>
                <w:color w:val="07090B"/>
                <w:sz w:val="18"/>
                <w:szCs w:val="18"/>
              </w:rPr>
              <w:t xml:space="preserve">Beitrag zu sicheren und rechtskonformen IT-Architekturen mit Fokus auf moderne Technologien wie IPv6, Zero Trust und Zero-Config-VPN-Ansätze.</w:t>
            </w:r>
          </w:p>
          <w:p>
            <w:pPr>
              <w:pStyle w:val="ListParagraph"/>
              <w:numPr>
                <w:ilvl w:val="0"/>
                <w:numId w:val="1"/>
              </w:numPr>
            </w:pPr>
            <w:r>
              <w:rPr>
                <w:b w:val="false"/>
                <w:bCs w:val="false"/>
                <w:color w:val="07090B"/>
                <w:sz w:val="18"/>
                <w:szCs w:val="18"/>
              </w:rPr>
              <w:t xml:space="preserve">Verbindung von Governance-Anforderungen mit praktischer technischer Umsetzung in Security- und Infrastrukturinitiativen.</w:t>
            </w:r>
          </w:p>
          <w:p/>
          <w:p>
            <w:r>
              <w:rPr>
                <w:b/>
                <w:bCs/>
                <w:sz w:val="20"/>
                <w:szCs w:val="20"/>
              </w:rPr>
              <w:t xml:space="preserve">Lead Software Engineer – SchlauFabrik 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Mandantenisolation.</w:t>
            </w:r>
          </w:p>
          <w:p>
            <w:pPr>
              <w:pStyle w:val="ListParagraph"/>
              <w:numPr>
                <w:ilvl w:val="0"/>
                <w:numId w:val="1"/>
              </w:numPr>
            </w:pPr>
            <w:r>
              <w:rPr>
                <w:b w:val="false"/>
                <w:bCs w:val="false"/>
                <w:color w:val="07090B"/>
                <w:sz w:val="18"/>
                <w:szCs w:val="18"/>
              </w:rPr>
              <w:t xml:space="preserve">Umsetzung zentraler Plattformfunktionen wie Kursauslieferung, Fortschritts-Tracking, Quiz, Zuweisungen sowie Admin-Dashboards für Tenant- und User-Management.</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tenantbasierter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Aufbau einer produktionsnahen SaaS-Plattform mit Fokus auf Sicherheit, Mandantenfähigkeit, Abrechenbarkeit und Auditierbarkeit.</w:t>
            </w:r>
          </w:p>
          <w:p>
            <w:pPr>
              <w:pStyle w:val="ListParagraph"/>
              <w:numPr>
                <w:ilvl w:val="0"/>
                <w:numId w:val="1"/>
              </w:numPr>
            </w:pPr>
            <w:r>
              <w:rPr>
                <w:b/>
                <w:bCs/>
                <w:color w:val="1B6E5A"/>
                <w:sz w:val="18"/>
                <w:szCs w:val="18"/>
              </w:rPr>
              <w:t xml:space="preserve">Erfolg: Verknüpfung von Produktlogik, Compliance-Anforderungen und technischer Implementierung in einer konsistenten Plattformarchitektur.</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Konzeption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agentischer KI-Workflows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Penetrationstest-Koordination</w:t>
            </w:r>
          </w:p>
          <w:p>
            <w:r>
              <w:rPr>
                <w:b/>
                <w:bCs/>
                <w:sz w:val="20"/>
                <w:szCs w:val="20"/>
              </w:rPr>
              <w:t xml:space="preserve">Infrastruktur &amp; Plattformen</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Architektur &amp; Führung</w:t>
            </w:r>
          </w:p>
          <w:p>
            <w:r>
              <w:rPr>
                <w:color w:val="1B6E5A"/>
                <w:sz w:val="18"/>
                <w:szCs w:val="18"/>
              </w:rPr>
              <w:t xml:space="preserve">Software-Architektur</w:t>
            </w:r>
            <w:r>
              <w:rPr>
                <w:color w:val="1B6E5A"/>
                <w:sz w:val="18"/>
                <w:szCs w:val="18"/>
              </w:rPr>
              <w:t xml:space="preserve">, </w:t>
            </w:r>
            <w:r>
              <w:rPr>
                <w:color w:val="1B6E5A"/>
                <w:sz w:val="18"/>
                <w:szCs w:val="18"/>
              </w:rPr>
              <w:t xml:space="preserve">Plattformarchitektur</w:t>
            </w:r>
            <w:r>
              <w:rPr>
                <w:color w:val="1B6E5A"/>
                <w:sz w:val="18"/>
                <w:szCs w:val="18"/>
              </w:rPr>
              <w:t xml:space="preserve">, </w:t>
            </w:r>
            <w:r>
              <w:rPr>
                <w:color w:val="1B6E5A"/>
                <w:sz w:val="18"/>
                <w:szCs w:val="18"/>
              </w:rPr>
              <w:t xml:space="preserve">Infrastrukturarchitektur</w:t>
            </w:r>
            <w:r>
              <w:rPr>
                <w:color w:val="1B6E5A"/>
                <w:sz w:val="18"/>
                <w:szCs w:val="18"/>
              </w:rPr>
              <w:t xml:space="preserve">, </w:t>
            </w:r>
            <w:r>
              <w:rPr>
                <w:color w:val="1B6E5A"/>
                <w:sz w:val="18"/>
                <w:szCs w:val="18"/>
              </w:rPr>
              <w:t xml:space="preserve">Technische Führung</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Technische Konzepte</w:t>
            </w:r>
            <w:r>
              <w:rPr>
                <w:color w:val="1B6E5A"/>
                <w:sz w:val="18"/>
                <w:szCs w:val="18"/>
              </w:rPr>
              <w:t xml:space="preserve">, </w:t>
            </w:r>
            <w:r>
              <w:rPr>
                <w:color w:val="1B6E5A"/>
                <w:sz w:val="18"/>
                <w:szCs w:val="18"/>
              </w:rPr>
              <w:t xml:space="preserve">Delivery-Struktur</w:t>
            </w:r>
          </w:p>
          <w:p>
            <w:r>
              <w:rPr>
                <w:b/>
                <w:bCs/>
                <w:sz w:val="20"/>
                <w:szCs w:val="20"/>
              </w:rPr>
              <w:t xml:space="preserve">KI</w:t>
            </w:r>
          </w:p>
          <w:p>
            <w:r>
              <w:rPr>
                <w:color w:val="1B6E5A"/>
                <w:sz w:val="18"/>
                <w:szCs w:val="18"/>
              </w:rPr>
              <w:t xml:space="preserve">KI-Workflows</w:t>
            </w:r>
            <w:r>
              <w:rPr>
                <w:color w:val="1B6E5A"/>
                <w:sz w:val="18"/>
                <w:szCs w:val="18"/>
              </w:rPr>
              <w:t xml:space="preserve">, </w:t>
            </w:r>
            <w:r>
              <w:rPr>
                <w:color w:val="1B6E5A"/>
                <w:sz w:val="18"/>
                <w:szCs w:val="18"/>
              </w:rPr>
              <w:t xml:space="preserve">Agentische KI</w:t>
            </w:r>
            <w:r>
              <w:rPr>
                <w:color w:val="1B6E5A"/>
                <w:sz w:val="18"/>
                <w:szCs w:val="18"/>
              </w:rPr>
              <w:t xml:space="preserve">, </w:t>
            </w:r>
            <w:r>
              <w:rPr>
                <w:color w:val="1B6E5A"/>
                <w:sz w:val="18"/>
                <w:szCs w:val="18"/>
              </w:rPr>
              <w:t xml:space="preserve">Evaluierung von KI-Werkzeugen</w:t>
            </w:r>
            <w:r>
              <w:rPr>
                <w:color w:val="1B6E5A"/>
                <w:sz w:val="18"/>
                <w:szCs w:val="18"/>
              </w:rPr>
              <w:t xml:space="preserve">, </w:t>
            </w:r>
            <w:r>
              <w:rPr>
                <w:color w:val="1B6E5A"/>
                <w:sz w:val="18"/>
                <w:szCs w:val="18"/>
              </w:rPr>
              <w:t xml:space="preserve">KI-Trainingsplattformen</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Entwickelte Lösungen</w:t>
            </w:r>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Rechtssicheres E-Mail-Archiv</w:t>
            </w:r>
          </w:p>
          <w:p>
            <w:pPr>
              <w:spacing w:after="100"/>
            </w:pPr>
            <w:r>
              <w:rPr>
                <w:sz w:val="18"/>
                <w:szCs w:val="18"/>
              </w:rPr>
              <w:t xml:space="preserve">Architektur, Design und Implementierung einer rechtssicheren unternehmensweiten E-Mail-Archivierungslösung für mehr als 50.000 Nutzer. Das System gewährleistet die unveränderbare Aufbewahrung sämtlicher Kommunikation über mehr als 10 Jahre und erfüllt strenge regulatorische sowie prüfungsrelevante Anforderungen. Basierend auf Open-Source-Technologien wurde das Archiv auf Skalierbarkeit, Redundanz und langfristige Wartbarkeit ausgelegt.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Umsetzung der Anforderungen aus SOC 2 und ISO 27001 durch Einführung von Informationssicherheitsrichtlinien, Kontrollen und Nachweisstrukturen im Einklang mit Audit- und Zertifizierungsanforderungen.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2026-04-15T08:13:55.988Z</dcterms:created>
  <dcterms:modified xsi:type="dcterms:W3CDTF">2026-04-15T08:13:55.988Z</dcterms:modified>
</cp:coreProperties>
</file>

<file path=docProps/custom.xml><?xml version="1.0" encoding="utf-8"?>
<Properties xmlns="http://schemas.openxmlformats.org/officeDocument/2006/custom-properties" xmlns:vt="http://schemas.openxmlformats.org/officeDocument/2006/docPropsVTypes"/>
</file>