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after="50" w:before="1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Programmleitung IPv6-Migration</w:t>
            </w:r>
          </w:p>
          <w:p>
            <w:r>
              <w:rPr>
                <w:color w:val="1B6E5A"/>
                <w:sz w:val="18"/>
                <w:szCs w:val="18"/>
              </w:rPr>
              <w:t xml:space="preserve">Deutsche Rentenversicherung (RP, BW)</w:t>
            </w:r>
            <w:r>
              <w:rPr>
                <w:color w:val="3A2366"/>
                <w:sz w:val="18"/>
                <w:szCs w:val="18"/>
              </w:rPr>
              <w:t xml:space="preserve"> — Jan 2026 - Heute</w:t>
            </w:r>
          </w:p>
          <w:p>
            <w:pPr>
              <w:spacing w:after="100"/>
            </w:pPr>
            <w:r>
              <w:rPr>
                <w:color w:val="3A2366"/>
                <w:sz w:val="18"/>
                <w:szCs w:val="18"/>
              </w:rPr>
              <w:t xml:space="preserve">Karlsruhe &amp; Speyer, Deutschland</w:t>
            </w:r>
          </w:p>
          <w:p>
            <w:pPr>
              <w:pStyle w:val="ListParagraph"/>
              <w:numPr>
                <w:ilvl w:val="0"/>
                <w:numId w:val="1"/>
              </w:numPr>
            </w:pPr>
            <w:r>
              <w:rPr>
                <w:b w:val="false"/>
                <w:bCs w:val="false"/>
                <w:color w:val="07090B"/>
                <w:sz w:val="18"/>
                <w:szCs w:val="18"/>
              </w:rPr>
              <w:t xml:space="preserve">Leitung der IPv6-Migration für DRV RP und DRV BW inklusive Governance, Planungsrhythmus und Umsetzungssteuerung.</w:t>
            </w:r>
          </w:p>
          <w:p>
            <w:pPr>
              <w:pStyle w:val="ListParagraph"/>
              <w:numPr>
                <w:ilvl w:val="0"/>
                <w:numId w:val="1"/>
              </w:numPr>
            </w:pPr>
            <w:r>
              <w:rPr>
                <w:b w:val="false"/>
                <w:bCs w:val="false"/>
                <w:color w:val="07090B"/>
                <w:sz w:val="18"/>
                <w:szCs w:val="18"/>
              </w:rPr>
              <w:t xml:space="preserve">Aufbau und operative Einführung eines Projektsteuerungsmodells mit Dashboard, Action Board, KPI-Portfolio, Risikoregister und Entscheidungsindex.</w:t>
            </w:r>
          </w:p>
          <w:p>
            <w:pPr>
              <w:pStyle w:val="ListParagraph"/>
              <w:numPr>
                <w:ilvl w:val="0"/>
                <w:numId w:val="1"/>
              </w:numPr>
            </w:pPr>
            <w:r>
              <w:rPr>
                <w:b w:val="false"/>
                <w:bCs w:val="false"/>
                <w:color w:val="07090B"/>
                <w:sz w:val="18"/>
                <w:szCs w:val="18"/>
              </w:rPr>
              <w:t xml:space="preserve">Koordination der Architektur-, Sicherheits- und Rollout-Vorbereitung über Adressierung, Segmentierung, Dual-Stack-Übergang, Testlabor-Planung und teamübergreifende Abhängigkeiten hinweg.</w:t>
            </w:r>
          </w:p>
          <w:p>
            <w:pPr>
              <w:pStyle w:val="ListParagraph"/>
              <w:numPr>
                <w:ilvl w:val="0"/>
                <w:numId w:val="1"/>
              </w:numPr>
            </w:pPr>
            <w:r>
              <w:rPr>
                <w:b w:val="false"/>
                <w:bCs w:val="false"/>
                <w:color w:val="07090B"/>
                <w:sz w:val="18"/>
                <w:szCs w:val="18"/>
              </w:rPr>
              <w:t xml:space="preserve">Steuerung der compliance-relevanten Abstimmung zu BSI-, NIS2- und KRITIS-Anforderungen, Evidence-Pflicht und transparentem Reporting an Management und Stakeholder beim Träger.</w:t>
            </w:r>
          </w:p>
          <w:p>
            <w:pPr>
              <w:pStyle w:val="ListParagraph"/>
              <w:numPr>
                <w:ilvl w:val="0"/>
                <w:numId w:val="1"/>
              </w:numPr>
            </w:pPr>
            <w:r>
              <w:rPr>
                <w:b/>
                <w:bCs/>
                <w:color w:val="1B6E5A"/>
                <w:sz w:val="18"/>
                <w:szCs w:val="18"/>
              </w:rPr>
              <w:t xml:space="preserve">Erfolg: Etablierung eines wiederverwendbaren Intake-to-Governance-Workflows, um nachvollziehbare Actions, Risiken, offene Fragen und Nachweisanfragen zu erstellen.</w:t>
            </w:r>
          </w:p>
          <w:p>
            <w:pPr>
              <w:pStyle w:val="ListParagraph"/>
              <w:numPr>
                <w:ilvl w:val="0"/>
                <w:numId w:val="1"/>
              </w:numPr>
            </w:pPr>
            <w:r>
              <w:rPr>
                <w:b/>
                <w:bCs/>
                <w:color w:val="1B6E5A"/>
                <w:sz w:val="18"/>
                <w:szCs w:val="18"/>
              </w:rPr>
              <w:t xml:space="preserve">Erfolg: Schaffung der operativen Baseline für die Programmausführung mit messbaren KPIs, klaren Verantwortlichkeiten und Entscheidungstransparenz.</w:t>
            </w:r>
          </w:p>
          <w:p/>
          <w:p>
            <w:r>
              <w:rPr>
                <w:b/>
                <w:bCs/>
                <w:sz w:val="20"/>
                <w:szCs w:val="20"/>
              </w:rPr>
              <w:t xml:space="preserve">Teilprojektleiter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 sowie sicherheitstechnische Begleitung von Applikations- und Netzwerk-Migrationen.</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Koordination und Ressourcenplanung eines kleinen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Analyse, Fehlerbehebung und nachhaltige Problemlösung im Bereich E-Mail-Infrastrukturen.</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sowie Migration und Neuaufbau von Applikationen und Serverinfrastrukturen in redundante, hochverfügbare Umgebungen.</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r>
              <w:rPr>
                <w:b/>
                <w:bCs/>
                <w:sz w:val="20"/>
                <w:szCs w:val="20"/>
              </w:rPr>
              <w:t xml:space="preserve">Product Owner / Systemarchitekt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Product Owner und Systemarchitekt für die unternehmensweite E-Mail-Archivierungsplattform, einschließlich Anforderungsmanagement, technischer Roadmap und langfristiger Weiterentwicklung.</w:t>
            </w:r>
          </w:p>
          <w:p>
            <w:pPr>
              <w:pStyle w:val="ListParagraph"/>
              <w:numPr>
                <w:ilvl w:val="0"/>
                <w:numId w:val="1"/>
              </w:numPr>
            </w:pPr>
            <w:r>
              <w:rPr>
                <w:b w:val="false"/>
                <w:bCs w:val="false"/>
                <w:color w:val="07090B"/>
                <w:sz w:val="18"/>
                <w:szCs w:val="18"/>
              </w:rPr>
              <w:t xml:space="preserve">Leitung der Design- und Implementierung eines rechtssicheren Archivs für über 50.000 Nutzer mit rechtssicherer Aufbewahrung, Prüfbarkeit und langfristiger Wartbarkeit.</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zur effizienten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Nebenverantwortlichkeiten in der umliegenden Mail-Infrastruktur (dovecot, postfix), Linux-basierten Diensten, DNS, Proxy, Lastverteilung und Cloud-Speicher.</w:t>
            </w:r>
          </w:p>
          <w:p>
            <w:pPr>
              <w:pStyle w:val="ListParagraph"/>
              <w:numPr>
                <w:ilvl w:val="0"/>
                <w:numId w:val="1"/>
              </w:numPr>
            </w:pPr>
            <w:r>
              <w:rPr>
                <w:b/>
                <w:bCs/>
                <w:color w:val="1B6E5A"/>
                <w:sz w:val="18"/>
                <w:szCs w:val="18"/>
              </w:rPr>
              <w:t xml:space="preserve">Erfolg: Bereitstellung eines stabilen, compliance-gerechten Archivsystems, das im gesamten Unternehmen täglich genutzt wurde.</w:t>
            </w:r>
          </w:p>
          <w:p>
            <w:pPr>
              <w:pStyle w:val="ListParagraph"/>
              <w:numPr>
                <w:ilvl w:val="0"/>
                <w:numId w:val="1"/>
              </w:numPr>
            </w:pPr>
            <w:r>
              <w:rPr>
                <w:b/>
                <w:bCs/>
                <w:color w:val="1B6E5A"/>
                <w:sz w:val="18"/>
                <w:szCs w:val="18"/>
              </w:rPr>
              <w:t xml:space="preserve">Erfolg: Etablierung zukunftssicherer Aufbewahrungsstrategien im Einklang mit strengen regulatorischen Vorgaben.</w:t>
            </w:r>
          </w:p>
          <w:p/>
          <w:p>
            <w:pPr>
              <w:spacing w:after="50" w:before="1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
            <w:r>
              <w:rPr>
                <w:b/>
                <w:bCs/>
                <w:sz w:val="20"/>
                <w:szCs w:val="20"/>
              </w:rPr>
              <w:t xml:space="preserve">SchlauFabrik – Multi-Tenant Compliance- &amp; KI-Trainingsplattform</w:t>
            </w:r>
          </w:p>
          <w:p>
            <w:r>
              <w:rPr>
                <w:color w:val="1B6E5A"/>
                <w:sz w:val="18"/>
                <w:szCs w:val="18"/>
              </w:rPr>
              <w:t xml:space="preserve">xtensible UG (haftungsbeschränkt) &amp; Co. KG</w:t>
            </w:r>
            <w:r>
              <w:rPr>
                <w:color w:val="3A2366"/>
                <w:sz w:val="18"/>
                <w:szCs w:val="18"/>
              </w:rPr>
              <w:t xml:space="preserve"> — Dezember 2025 -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Umsetzung einer modernen, responsiven Trainingsplattform für Compliance- und KI-Themen mit Mandantentrennung und RBAC.</w:t>
            </w:r>
          </w:p>
          <w:p>
            <w:pPr>
              <w:pStyle w:val="ListParagraph"/>
              <w:numPr>
                <w:ilvl w:val="0"/>
                <w:numId w:val="1"/>
              </w:numPr>
            </w:pPr>
            <w:r>
              <w:rPr>
                <w:b w:val="false"/>
                <w:bCs w:val="false"/>
                <w:color w:val="07090B"/>
                <w:sz w:val="18"/>
                <w:szCs w:val="18"/>
              </w:rPr>
              <w:t xml:space="preserve">Umsetzung von Security-by-Design mit Postgres Row-Level Security, Audit-Logs, Rate Limiting sowie gehärteten Auth-Flows (Passkey/Magic Link/2FA/SSO).</w:t>
            </w:r>
          </w:p>
          <w:p>
            <w:pPr>
              <w:pStyle w:val="ListParagraph"/>
              <w:numPr>
                <w:ilvl w:val="0"/>
                <w:numId w:val="1"/>
              </w:numPr>
            </w:pPr>
            <w:r>
              <w:rPr>
                <w:b w:val="false"/>
                <w:bCs w:val="false"/>
                <w:color w:val="07090B"/>
                <w:sz w:val="18"/>
                <w:szCs w:val="18"/>
              </w:rPr>
              <w:t xml:space="preserve">Aufbau der Kursplattform inkl. Fortschritts-Tracking, Quiz, Zuweisungen sowie Admin-Dashboards für Tenant-/User-Management.</w:t>
            </w:r>
          </w:p>
          <w:p>
            <w:pPr>
              <w:pStyle w:val="ListParagraph"/>
              <w:numPr>
                <w:ilvl w:val="0"/>
                <w:numId w:val="1"/>
              </w:numPr>
            </w:pPr>
            <w:r>
              <w:rPr>
                <w:b w:val="false"/>
                <w:bCs w:val="false"/>
                <w:color w:val="07090B"/>
                <w:sz w:val="18"/>
                <w:szCs w:val="18"/>
              </w:rPr>
              <w:t xml:space="preserve">Implementierung manipulationssicherer PDF-Zertifikate mit QR-Verifikation und kryptografischem Hashing inkl. Bulk-Export für Audits.</w:t>
            </w:r>
          </w:p>
          <w:p>
            <w:pPr>
              <w:pStyle w:val="ListParagraph"/>
              <w:numPr>
                <w:ilvl w:val="0"/>
                <w:numId w:val="1"/>
              </w:numPr>
            </w:pPr>
            <w:r>
              <w:rPr>
                <w:b w:val="false"/>
                <w:bCs w:val="false"/>
                <w:color w:val="07090B"/>
                <w:sz w:val="18"/>
                <w:szCs w:val="18"/>
              </w:rPr>
              <w:t xml:space="preserve">Integration von Stripe-Abrechnung (Subscriptions, Portal, Webhooks) inkl. Lizenzmodellen und Soft-Lock-Mechanismen für Tenant-Limits.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val="false"/>
                <w:bCs w:val="false"/>
                <w:color w:val="07090B"/>
                <w:sz w:val="18"/>
                <w:szCs w:val="18"/>
              </w:rPr>
              <w:t xml:space="preserve">Aufbau eines DSGVO-konformen Datenschutzrahmens von Grund auf.</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val="false"/>
                <w:bCs w:val="false"/>
                <w:color w:val="07090B"/>
                <w:sz w:val="18"/>
                <w:szCs w:val="18"/>
              </w:rPr>
              <w:t xml:space="preserve">Analysiert und bewertet: OpenAI ChatGPT, OpenAI Open-Weight GPT-OSS, Microsoft Copilot, Perplexity, Anthropic Claude, Apple Foundation, z.AI GLM, n8n, make.com und Zapier.</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strukturierter Bewertung von Findings hoher, mittlerer und niedriger Schwere.</w:t>
            </w:r>
          </w:p>
          <w:p>
            <w:pPr>
              <w:pStyle w:val="ListParagraph"/>
              <w:numPr>
                <w:ilvl w:val="0"/>
                <w:numId w:val="1"/>
              </w:numPr>
            </w:pPr>
            <w:r>
              <w:rPr>
                <w:b w:val="false"/>
                <w:bCs w:val="false"/>
                <w:color w:val="07090B"/>
                <w:sz w:val="18"/>
                <w:szCs w:val="18"/>
              </w:rPr>
              <w:t xml:space="preserve">Erstellung eines ausführlichen Review-Papiers mit technischen Befunden, empfohlenen Maßnahmen und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Entwickelte Lösungen</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Februar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2026-02-16T07:40:29.174Z</dcterms:created>
  <dcterms:modified xsi:type="dcterms:W3CDTF">2026-02-16T07:40:29.174Z</dcterms:modified>
</cp:coreProperties>
</file>

<file path=docProps/custom.xml><?xml version="1.0" encoding="utf-8"?>
<Properties xmlns="http://schemas.openxmlformats.org/officeDocument/2006/custom-properties" xmlns:vt="http://schemas.openxmlformats.org/officeDocument/2006/docPropsVTypes"/>
</file>