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übersetze komplexe Anforderungen in robuste, skalierbare und langfristig tragfähige Systeme. Dabei arbeite ich an der Schnittstelle von moderner Software, Plattformen, Infrastruktur und KI-nahen Workflows – mit einem klaren Fokus auf Lösungen, die technisch sauber, sicher betreibbar und in der Praxis wirklich brauchbar sind.</w:t>
            </w:r>
          </w:p>
          <w:p>
            <w:pPr>
              <w:pStyle w:val="Heading2"/>
              <w:pBdr>
                <w:bottom w:val="single" w:color="auto" w:sz="6" w:space="1"/>
              </w:pBdr>
            </w:pPr>
            <w:r>
              <w:t xml:space="preserve">Profil</w:t>
            </w:r>
          </w:p>
          <w:p>
            <w:pPr>
              <w:spacing w:after="100"/>
            </w:pPr>
            <w:r>
              <w:rPr>
                <w:sz w:val="18"/>
                <w:szCs w:val="18"/>
              </w:rPr>
              <w:t xml:space="preserve">Du bekommst Systeme, die sicher, skalierbar und im Alltag gut handhabbar sind. Seit über 20 Jahren übersetze ich Komplexität und regulatorische Anforderungen in Lösungen, die wirklich funktionieren – vom ersten Konzept bis in den laufenden Betrieb. Dabei verbinde ich technische Tiefe mit Pragmatismus und klarer Kommunikation.</w:t>
            </w:r>
          </w:p>
          <w:p>
            <w:pPr>
              <w:spacing w:after="200"/>
            </w:pPr>
            <w:r>
              <w:rPr>
                <w:sz w:val="18"/>
                <w:szCs w:val="18"/>
              </w:rPr>
              <w:t xml:space="preserve">Meine Schwerpunkte sind Architektur, Security, Infrastruktur und KI. Mein Weg führt von Linux- und Netzwerk-Infrastrukturen über Security- und Compliance-Plattformen bis zu mandantenfähigen SaaS-Produkten. KI beobachte ich nicht nur, ich setze sie praktisch ein – mit neuen Modellen, Tools und Workflows, die nützlich, sauber gebaut und sicher betreibbar sind.</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Technische Programmleitung IPv6</w:t>
            </w:r>
          </w:p>
          <w:p>
            <w:r>
              <w:rPr>
                <w:color w:val="1B6E5A"/>
                <w:sz w:val="18"/>
                <w:szCs w:val="18"/>
              </w:rPr>
              <w:t xml:space="preserve">Deutsche Rentenversicherung</w:t>
            </w:r>
            <w:r>
              <w:rPr>
                <w:color w:val="3A2366"/>
                <w:sz w:val="18"/>
                <w:szCs w:val="18"/>
              </w:rPr>
              <w:t xml:space="preserve"> — Jan 2026 - Heute</w:t>
            </w:r>
          </w:p>
          <w:p>
            <w:pPr>
              <w:spacing w:after="100"/>
            </w:pPr>
            <w:r>
              <w:rPr>
                <w:color w:val="3A2366"/>
                <w:sz w:val="18"/>
                <w:szCs w:val="18"/>
              </w:rPr>
              <w:t xml:space="preserve">Deutschland</w:t>
            </w:r>
          </w:p>
          <w:p>
            <w:pPr>
              <w:pStyle w:val="ListParagraph"/>
              <w:numPr>
                <w:ilvl w:val="0"/>
                <w:numId w:val="1"/>
              </w:numPr>
            </w:pPr>
            <w:r>
              <w:rPr>
                <w:b w:val="false"/>
                <w:bCs w:val="false"/>
                <w:color w:val="07090B"/>
                <w:sz w:val="18"/>
                <w:szCs w:val="18"/>
              </w:rPr>
              <w:t xml:space="preserve">Technische Programmverantwortung für die IPv6-Migration. Schwerpunkte sind die Migrationsplanung, die Netzwerkarchitektur und das IP-Adressmanagement mit Infoblox.</w:t>
            </w:r>
          </w:p>
          <w:p>
            <w:pPr>
              <w:pStyle w:val="ListParagraph"/>
              <w:numPr>
                <w:ilvl w:val="0"/>
                <w:numId w:val="1"/>
              </w:numPr>
            </w:pPr>
            <w:r>
              <w:rPr>
                <w:b w:val="false"/>
                <w:bCs w:val="false"/>
                <w:color w:val="07090B"/>
                <w:sz w:val="18"/>
                <w:szCs w:val="18"/>
              </w:rPr>
              <w:t xml:space="preserve">Konzeption der IPv6-Adressierung und Abstimmung der Abbildung in Infoblox als Grundlage für eine konsistente Verwaltung von Adressräumen und Netzsegmenten im Dual-Stack-Betrieb.</w:t>
            </w:r>
          </w:p>
          <w:p>
            <w:pPr>
              <w:pStyle w:val="ListParagraph"/>
              <w:numPr>
                <w:ilvl w:val="0"/>
                <w:numId w:val="1"/>
              </w:numPr>
            </w:pPr>
            <w:r>
              <w:rPr>
                <w:b w:val="false"/>
                <w:bCs w:val="false"/>
                <w:color w:val="07090B"/>
                <w:sz w:val="18"/>
                <w:szCs w:val="18"/>
              </w:rPr>
              <w:t xml:space="preserve">Koordination der technischen Vorarbeiten für Testlabor und Rollout sowie Abstimmung der Abhängigkeiten zwischen Netzwerkbetrieb, Architektur und Informationssicherheit.</w:t>
            </w:r>
          </w:p>
          <w:p>
            <w:pPr>
              <w:pStyle w:val="ListParagraph"/>
              <w:numPr>
                <w:ilvl w:val="0"/>
                <w:numId w:val="1"/>
              </w:numPr>
            </w:pPr>
            <w:r>
              <w:rPr>
                <w:b w:val="false"/>
                <w:bCs w:val="false"/>
                <w:color w:val="07090B"/>
                <w:sz w:val="18"/>
                <w:szCs w:val="18"/>
              </w:rPr>
              <w:t xml:space="preserve">Berücksichtigung sicherheits- und compliance-relevanter Anforderungen im Kontext von BSI, NIS2 und KRITIS sowie deren Überführung in nachvollziehbare Nachweise und Management-Reporting.</w:t>
            </w:r>
          </w:p>
          <w:p>
            <w:pPr>
              <w:pStyle w:val="ListParagraph"/>
              <w:numPr>
                <w:ilvl w:val="0"/>
                <w:numId w:val="1"/>
              </w:numPr>
            </w:pPr>
            <w:r>
              <w:rPr>
                <w:b/>
                <w:bCs/>
                <w:color w:val="1B6E5A"/>
                <w:sz w:val="18"/>
                <w:szCs w:val="18"/>
              </w:rPr>
              <w:t xml:space="preserve">Erfolg: Übergreifende Programmsteuerung aufgebaut: Dashboard, KPI-Portfolio, Risikoregister und dokumentierte Entscheidungen.</w:t>
            </w:r>
          </w:p>
          <w:p>
            <w:pPr>
              <w:pStyle w:val="ListParagraph"/>
              <w:numPr>
                <w:ilvl w:val="0"/>
                <w:numId w:val="1"/>
              </w:numPr>
            </w:pPr>
            <w:r>
              <w:rPr>
                <w:b/>
                <w:bCs/>
                <w:color w:val="1B6E5A"/>
                <w:sz w:val="18"/>
                <w:szCs w:val="18"/>
              </w:rPr>
              <w:t xml:space="preserve">Erfolg: Operative Grundlage für die Migration geschaffen: klare Verantwortlichkeiten, messbarer Fortschritt und abgestimmte Umsetzungsschritte.</w:t>
            </w:r>
          </w:p>
          <w:p/>
          <w:p>
            <w:r>
              <w:rPr>
                <w:b/>
                <w:bCs/>
                <w:sz w:val="20"/>
                <w:szCs w:val="20"/>
              </w:rPr>
              <w:t xml:space="preserve">Teilprojektleitung RZ-Migration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Technische Teilprojektverantwortung im Rahmen der Rechenzentrumsmigration mit Schwerpunkt auf Solaris-, Linux-, Storage- und Backup-Umgebungen.</w:t>
            </w:r>
          </w:p>
          <w:p>
            <w:pPr>
              <w:pStyle w:val="ListParagraph"/>
              <w:numPr>
                <w:ilvl w:val="0"/>
                <w:numId w:val="1"/>
              </w:numPr>
            </w:pPr>
            <w:r>
              <w:rPr>
                <w:b w:val="false"/>
                <w:bCs w:val="false"/>
                <w:color w:val="07090B"/>
                <w:sz w:val="18"/>
                <w:szCs w:val="18"/>
              </w:rPr>
              <w:t xml:space="preserve">Konzeption, Modernisierung und Einführung der unternehmensweiten Backup-Plattform auf Basis der Rubrik Security Cloud inklusive technischer Abstimmung über Betriebs-, Security- und Wiederherstellungsanforderungen hinweg.</w:t>
            </w:r>
          </w:p>
          <w:p>
            <w:pPr>
              <w:pStyle w:val="ListParagraph"/>
              <w:numPr>
                <w:ilvl w:val="0"/>
                <w:numId w:val="1"/>
              </w:numPr>
            </w:pPr>
            <w:r>
              <w:rPr>
                <w:b w:val="false"/>
                <w:bCs w:val="false"/>
                <w:color w:val="07090B"/>
                <w:sz w:val="18"/>
                <w:szCs w:val="18"/>
              </w:rPr>
              <w:t xml:space="preserve">Mitwirkung an der Weiterentwicklung der Solaris-Infrastruktur und an der schrittweisen Ablösung von Legacy-Systemen zugunsten moderner, cloudfähiger Zielarchitekturen.</w:t>
            </w:r>
          </w:p>
          <w:p>
            <w:pPr>
              <w:pStyle w:val="ListParagraph"/>
              <w:numPr>
                <w:ilvl w:val="0"/>
                <w:numId w:val="1"/>
              </w:numPr>
            </w:pPr>
            <w:r>
              <w:rPr>
                <w:b w:val="false"/>
                <w:bCs w:val="false"/>
                <w:color w:val="07090B"/>
                <w:sz w:val="18"/>
                <w:szCs w:val="18"/>
              </w:rPr>
              <w:t xml:space="preserve">Unterstützung bei der technischen Erneuerung der Netzwerkinfrastruktur hin zu einer segmentierten, sicherheitsorientierten Architektur mit klareren Betriebs- und Schutzgrenzen.</w:t>
            </w:r>
          </w:p>
          <w:p>
            <w:pPr>
              <w:pStyle w:val="ListParagraph"/>
              <w:numPr>
                <w:ilvl w:val="0"/>
                <w:numId w:val="1"/>
              </w:numPr>
            </w:pPr>
            <w:r>
              <w:rPr>
                <w:b/>
                <w:bCs/>
                <w:color w:val="1B6E5A"/>
                <w:sz w:val="18"/>
                <w:szCs w:val="18"/>
              </w:rPr>
              <w:t xml:space="preserve">Erfolg: Verlagerung von zwei Rechenzentren mit minimierten Ausfallzeiten: Beitrag zur technischen Vorbereitung und koordinierten Umsetzung über alle Infrastrukturabhängigkeiten hinweg.</w:t>
            </w:r>
          </w:p>
          <w:p>
            <w:pPr>
              <w:pStyle w:val="ListParagraph"/>
              <w:numPr>
                <w:ilvl w:val="0"/>
                <w:numId w:val="1"/>
              </w:numPr>
            </w:pPr>
            <w:r>
              <w:rPr>
                <w:b/>
                <w:bCs/>
                <w:color w:val="1B6E5A"/>
                <w:sz w:val="18"/>
                <w:szCs w:val="18"/>
              </w:rPr>
              <w:t xml:space="preserve">Erfolg: Modernisierte Backup-Baseline auf Basis der Rubrik Security Cloud etabliert – mit besserer Datensicherheit, Compliance und Wiederherstellbarkeit in mehreren Fachbereichen.</w:t>
            </w:r>
          </w:p>
          <w:p/>
          <w:p>
            <w:r>
              <w:rPr>
                <w:b/>
                <w:bCs/>
                <w:sz w:val="20"/>
                <w:szCs w:val="20"/>
              </w:rPr>
              <w:t xml:space="preserve">Security &amp; Compliance Engineer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und Umsetzung in den Bereichen Informationssicherheit, technische Security Controls und organisatorische Sicherheitsanforderungen.</w:t>
            </w:r>
          </w:p>
          <w:p>
            <w:pPr>
              <w:pStyle w:val="ListParagraph"/>
              <w:numPr>
                <w:ilvl w:val="0"/>
                <w:numId w:val="1"/>
              </w:numPr>
            </w:pPr>
            <w:r>
              <w:rPr>
                <w:b w:val="false"/>
                <w:bCs w:val="false"/>
                <w:color w:val="07090B"/>
                <w:sz w:val="18"/>
                <w:szCs w:val="18"/>
              </w:rPr>
              <w:t xml:space="preserve">Unterstützung des DevOps-Teams bei sicherheitsrelevanten Fragestellungen, betrieblichen Hardening-Maßnahmen und der Einbettung von Security-Anforderungen in bestehende Plattform- und Deployment-Prozesse.</w:t>
            </w:r>
          </w:p>
          <w:p>
            <w:pPr>
              <w:pStyle w:val="ListParagraph"/>
              <w:numPr>
                <w:ilvl w:val="0"/>
                <w:numId w:val="1"/>
              </w:numPr>
            </w:pPr>
            <w:r>
              <w:rPr>
                <w:b w:val="false"/>
                <w:bCs w:val="false"/>
                <w:color w:val="07090B"/>
                <w:sz w:val="18"/>
                <w:szCs w:val="18"/>
              </w:rPr>
              <w:t xml:space="preserve">Integration von Diensten in die bestehende SSO-Infrastruktur zur Vereinheitlichung von Authentifizierung, Zugriffssteuerung und Benutzerverwaltung über mehrere Plattformen hinweg.</w:t>
            </w:r>
          </w:p>
          <w:p>
            <w:pPr>
              <w:pStyle w:val="ListParagraph"/>
              <w:numPr>
                <w:ilvl w:val="0"/>
                <w:numId w:val="1"/>
              </w:numPr>
            </w:pPr>
            <w:r>
              <w:rPr>
                <w:b w:val="false"/>
                <w:bCs w:val="false"/>
                <w:color w:val="07090B"/>
                <w:sz w:val="18"/>
                <w:szCs w:val="18"/>
              </w:rPr>
              <w:t xml:space="preserve">Begleitung der Audit- und Zertifizierungsvorbereitung für SOC 2 und ISO 27001 inklusive Anforderungsabgleich, Nachweisführung und Abstimmung technischer sowie organisatorischer Maßnahmen.</w:t>
            </w:r>
          </w:p>
          <w:p>
            <w:pPr>
              <w:pStyle w:val="ListParagraph"/>
              <w:numPr>
                <w:ilvl w:val="0"/>
                <w:numId w:val="1"/>
              </w:numPr>
            </w:pPr>
            <w:r>
              <w:rPr>
                <w:b w:val="false"/>
                <w:bCs w:val="false"/>
                <w:color w:val="07090B"/>
                <w:sz w:val="18"/>
                <w:szCs w:val="18"/>
              </w:rPr>
              <w:t xml:space="preserve">Beratung zu DSGVO-Anforderungen sowie Einführung von Aufbewahrungsfristen, Datenschutzrichtlinien und zugehörigen organisatorischen Vorgaben.</w:t>
            </w:r>
          </w:p>
          <w:p>
            <w:pPr>
              <w:pStyle w:val="ListParagraph"/>
              <w:numPr>
                <w:ilvl w:val="0"/>
                <w:numId w:val="1"/>
              </w:numPr>
            </w:pPr>
            <w:r>
              <w:rPr>
                <w:b w:val="false"/>
                <w:bCs w:val="false"/>
                <w:color w:val="07090B"/>
                <w:sz w:val="18"/>
                <w:szCs w:val="18"/>
              </w:rPr>
              <w:t xml:space="preserve">Einführung und Weiterentwicklung von Sicherheitsrichtlinien und Basiskontrollen zur Stärkung des unternehmensweiten Sicherheitsniveaus.</w:t>
            </w:r>
          </w:p>
          <w:p>
            <w:pPr>
              <w:pStyle w:val="ListParagraph"/>
              <w:numPr>
                <w:ilvl w:val="0"/>
                <w:numId w:val="1"/>
              </w:numPr>
            </w:pPr>
            <w:r>
              <w:rPr>
                <w:b/>
                <w:bCs/>
                <w:color w:val="1B6E5A"/>
                <w:sz w:val="18"/>
                <w:szCs w:val="18"/>
              </w:rPr>
              <w:t xml:space="preserve">Erfolg: SOC-2-Audit ohne Beanstandungen, gestützt auf die umgesetzten IT-Sicherheitsmaßnahmen – zentrale Kundenanforderungen damit abgesichert.</w:t>
            </w:r>
          </w:p>
          <w:p>
            <w:pPr>
              <w:pStyle w:val="ListParagraph"/>
              <w:numPr>
                <w:ilvl w:val="0"/>
                <w:numId w:val="1"/>
              </w:numPr>
            </w:pPr>
            <w:r>
              <w:rPr>
                <w:b/>
                <w:bCs/>
                <w:color w:val="1B6E5A"/>
                <w:sz w:val="18"/>
                <w:szCs w:val="18"/>
              </w:rPr>
              <w:t xml:space="preserve">Erfolg: Beitrag zur erfolgreichen ISO-27001-Zertifizierung in engem Zeitrahmen: strukturierte Umsetzung von Anforderungen, Kontrollen und Nachweisen.</w:t>
            </w:r>
          </w:p>
          <w:p>
            <w:pPr>
              <w:pStyle w:val="ListParagraph"/>
              <w:numPr>
                <w:ilvl w:val="0"/>
                <w:numId w:val="1"/>
              </w:numPr>
            </w:pPr>
            <w:r>
              <w:rPr>
                <w:b/>
                <w:bCs/>
                <w:color w:val="1B6E5A"/>
                <w:sz w:val="18"/>
                <w:szCs w:val="18"/>
              </w:rPr>
              <w:t xml:space="preserve">Erfolg: SSO über mehrere Plattformen hinweg integriert – mit mehr Sicherheit, einheitlichen Zugriffen und besserem Nutzererlebnis.</w:t>
            </w:r>
          </w:p>
          <w:p/>
          <w:p>
            <w:r>
              <w:rPr>
                <w:b/>
                <w:bCs/>
                <w:sz w:val="20"/>
                <w:szCs w:val="20"/>
              </w:rPr>
              <w:t xml:space="preserve">Security Engineer &amp; Incident Responder</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und technische Unterstützung in Informationssicherheit mit Schwerpunkt auf Server-, Netzwerk- und Infrastruktur-Security.</w:t>
            </w:r>
          </w:p>
          <w:p>
            <w:pPr>
              <w:pStyle w:val="ListParagraph"/>
              <w:numPr>
                <w:ilvl w:val="0"/>
                <w:numId w:val="1"/>
              </w:numPr>
            </w:pPr>
            <w:r>
              <w:rPr>
                <w:b w:val="false"/>
                <w:bCs w:val="false"/>
                <w:color w:val="07090B"/>
                <w:sz w:val="18"/>
                <w:szCs w:val="18"/>
              </w:rPr>
              <w:t xml:space="preserve">Unterstützung der strategischen und operativen Maßnahmen während eines größeren Sicherheitsvorfalls, einschließlich Koordination von Reaktion, Eindämmung und Wiederanlauf.</w:t>
            </w:r>
          </w:p>
          <w:p>
            <w:pPr>
              <w:pStyle w:val="ListParagraph"/>
              <w:numPr>
                <w:ilvl w:val="0"/>
                <w:numId w:val="1"/>
              </w:numPr>
            </w:pPr>
            <w:r>
              <w:rPr>
                <w:b w:val="false"/>
                <w:bCs w:val="false"/>
                <w:color w:val="07090B"/>
                <w:sz w:val="18"/>
                <w:szCs w:val="18"/>
              </w:rPr>
              <w:t xml:space="preserve">Erstellung und Weiterentwicklung von Sicherheitsrichtlinien, technischen Konzepten und umsetzungsnahen Sicherheitsvorgaben.</w:t>
            </w:r>
          </w:p>
          <w:p>
            <w:pPr>
              <w:pStyle w:val="ListParagraph"/>
              <w:numPr>
                <w:ilvl w:val="0"/>
                <w:numId w:val="1"/>
              </w:numPr>
            </w:pPr>
            <w:r>
              <w:rPr>
                <w:b w:val="false"/>
                <w:bCs w:val="false"/>
                <w:color w:val="07090B"/>
                <w:sz w:val="18"/>
                <w:szCs w:val="18"/>
              </w:rPr>
              <w:t xml:space="preserve">Automatisierung des Schwachstellen- und Vorfallsmanagements zur strukturierten Erfassung, Priorisierung und Bearbeitung sicherheitsrelevanter Ereignisse.</w:t>
            </w:r>
          </w:p>
          <w:p>
            <w:pPr>
              <w:pStyle w:val="ListParagraph"/>
              <w:numPr>
                <w:ilvl w:val="0"/>
                <w:numId w:val="1"/>
              </w:numPr>
            </w:pPr>
            <w:r>
              <w:rPr>
                <w:b w:val="false"/>
                <w:bCs w:val="false"/>
                <w:color w:val="07090B"/>
                <w:sz w:val="18"/>
                <w:szCs w:val="18"/>
              </w:rPr>
              <w:t xml:space="preserve">Unterstützung bei Aufbau und Weiterentwicklung von IT-Architektur und Sicherheitsstrategie, insbesondere in den Bereichen Netzwerkarchitektur, Cloud-Infrastruktur und Firewall-Konzepte.</w:t>
            </w:r>
          </w:p>
          <w:p>
            <w:pPr>
              <w:pStyle w:val="ListParagraph"/>
              <w:numPr>
                <w:ilvl w:val="0"/>
                <w:numId w:val="1"/>
              </w:numPr>
            </w:pPr>
            <w:r>
              <w:rPr>
                <w:b w:val="false"/>
                <w:bCs w:val="false"/>
                <w:color w:val="07090B"/>
                <w:sz w:val="18"/>
                <w:szCs w:val="18"/>
              </w:rPr>
              <w:t xml:space="preserve">Vorbereitung und fachliche Begleitung von Penetrationstests in den Bereichen Netzwerk, Cloud, Anwendungen und Active Directory.</w:t>
            </w:r>
          </w:p>
          <w:p>
            <w:pPr>
              <w:pStyle w:val="ListParagraph"/>
              <w:numPr>
                <w:ilvl w:val="0"/>
                <w:numId w:val="1"/>
              </w:numPr>
            </w:pPr>
            <w:r>
              <w:rPr>
                <w:b w:val="false"/>
                <w:bCs w:val="false"/>
                <w:color w:val="07090B"/>
                <w:sz w:val="18"/>
                <w:szCs w:val="18"/>
              </w:rPr>
              <w:t xml:space="preserve">Operative Verantwortung im SOC-Umfeld mit Fokus auf Sicherheitsmonitoring, Incident Response und kontinuierliche Verbesserung von Analyse- und Eskalationsprozessen.</w:t>
            </w:r>
          </w:p>
          <w:p>
            <w:pPr>
              <w:pStyle w:val="ListParagraph"/>
              <w:numPr>
                <w:ilvl w:val="0"/>
                <w:numId w:val="1"/>
              </w:numPr>
            </w:pPr>
            <w:r>
              <w:rPr>
                <w:b w:val="false"/>
                <w:bCs w:val="false"/>
                <w:color w:val="07090B"/>
                <w:sz w:val="18"/>
                <w:szCs w:val="18"/>
              </w:rPr>
              <w:t xml:space="preserve">Durchführung von 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Technischer Schwerpunkt auf Linux und Netzwerken sowie ergänzende Sicherheitsberatung für Windows-, Azure- und Entwicklungsumgebungen.</w:t>
            </w:r>
          </w:p>
          <w:p>
            <w:pPr>
              <w:pStyle w:val="ListParagraph"/>
              <w:numPr>
                <w:ilvl w:val="0"/>
                <w:numId w:val="1"/>
              </w:numPr>
            </w:pPr>
            <w:r>
              <w:rPr>
                <w:b w:val="false"/>
                <w:bCs w:val="false"/>
                <w:color w:val="07090B"/>
                <w:sz w:val="18"/>
                <w:szCs w:val="18"/>
              </w:rPr>
              <w:t xml:space="preserve">Beratung zu Datenschutz-, Audit- und Zertifizierungsanforderungen, unter anderem mit Bezug auf ISO 27001, BSI IT-Grundschutz, NIST und MITRE.</w:t>
            </w:r>
          </w:p>
          <w:p>
            <w:pPr>
              <w:pStyle w:val="ListParagraph"/>
              <w:numPr>
                <w:ilvl w:val="0"/>
                <w:numId w:val="1"/>
              </w:numPr>
            </w:pPr>
            <w:r>
              <w:rPr>
                <w:b/>
                <w:bCs/>
                <w:color w:val="1B6E5A"/>
                <w:sz w:val="18"/>
                <w:szCs w:val="18"/>
              </w:rPr>
              <w:t xml:space="preserve">Erfolg: Schwachstellenmanagement entwickelt und automatisiert – mit schnelleren Reaktionszeiten und mehr Transparenz bei der Vorfallsbearbeitung.</w:t>
            </w:r>
          </w:p>
          <w:p>
            <w:pPr>
              <w:pStyle w:val="ListParagraph"/>
              <w:numPr>
                <w:ilvl w:val="0"/>
                <w:numId w:val="1"/>
              </w:numPr>
            </w:pPr>
            <w:r>
              <w:rPr>
                <w:b/>
                <w:bCs/>
                <w:color w:val="1B6E5A"/>
                <w:sz w:val="18"/>
                <w:szCs w:val="18"/>
              </w:rPr>
              <w:t xml:space="preserve">Erfolg: Sicherheitsrichtlinien und technische Sicherheitsvorgaben eingeführt, die im Unternehmen als wiederverwendbare Best Practices übernommen wurden.</w:t>
            </w:r>
          </w:p>
          <w:p>
            <w:pPr>
              <w:pStyle w:val="ListParagraph"/>
              <w:numPr>
                <w:ilvl w:val="0"/>
                <w:numId w:val="1"/>
              </w:numPr>
            </w:pPr>
            <w:r>
              <w:rPr>
                <w:b/>
                <w:bCs/>
                <w:color w:val="1B6E5A"/>
                <w:sz w:val="18"/>
                <w:szCs w:val="18"/>
              </w:rPr>
              <w:t xml:space="preserve">Erfolg: Beitrag zur koordinierten Reaktion auf einen größeren Sicherheitsvorfall mit Fokus auf Schadensbegrenzung, Wiederherstellung und betriebliche Stabilisierung.</w:t>
            </w:r>
          </w:p>
          <w:p/>
          <w:p>
            <w:r>
              <w:rPr>
                <w:b/>
                <w:bCs/>
                <w:sz w:val="20"/>
                <w:szCs w:val="20"/>
              </w:rPr>
              <w:t xml:space="preserve">Lead Infrastructure Engineer</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Technische Koordination und Ressourcenplanung eines kleinen Infrastrukturteams.</w:t>
            </w:r>
          </w:p>
          <w:p>
            <w:pPr>
              <w:pStyle w:val="ListParagraph"/>
              <w:numPr>
                <w:ilvl w:val="0"/>
                <w:numId w:val="1"/>
              </w:numPr>
            </w:pPr>
            <w:r>
              <w:rPr>
                <w:b w:val="false"/>
                <w:bCs w:val="false"/>
                <w:color w:val="07090B"/>
                <w:sz w:val="18"/>
                <w:szCs w:val="18"/>
              </w:rPr>
              <w:t xml:space="preserve">Verantwortungsbereich des Teams: Linux-basierte Plattformen für E-Mail, Cloud-Speicher, Lastverteilung, Proxy und DNS.</w:t>
            </w:r>
          </w:p>
          <w:p>
            <w:pPr>
              <w:pStyle w:val="ListParagraph"/>
              <w:numPr>
                <w:ilvl w:val="0"/>
                <w:numId w:val="1"/>
              </w:numPr>
            </w:pPr>
            <w:r>
              <w:rPr>
                <w:b w:val="false"/>
                <w:bCs w:val="false"/>
                <w:color w:val="07090B"/>
                <w:sz w:val="18"/>
                <w:szCs w:val="18"/>
              </w:rPr>
              <w:t xml:space="preserve">Analyse, Fehlerbehebung und nachhaltige Stabilisierung komplexer E-Mail-Infrastrukturen.</w:t>
            </w:r>
          </w:p>
          <w:p>
            <w:pPr>
              <w:pStyle w:val="ListParagraph"/>
              <w:numPr>
                <w:ilvl w:val="0"/>
                <w:numId w:val="1"/>
              </w:numPr>
            </w:pPr>
            <w:r>
              <w:rPr>
                <w:b w:val="false"/>
                <w:bCs w:val="false"/>
                <w:color w:val="07090B"/>
                <w:sz w:val="18"/>
                <w:szCs w:val="18"/>
              </w:rPr>
              <w:t xml:space="preserve">Beratung und technische Umsetzung in den Bereichen IPv6, Security und hochverfügbare Infrastruktursysteme.</w:t>
            </w:r>
          </w:p>
          <w:p>
            <w:pPr>
              <w:pStyle w:val="ListParagraph"/>
              <w:numPr>
                <w:ilvl w:val="0"/>
                <w:numId w:val="1"/>
              </w:numPr>
            </w:pPr>
            <w:r>
              <w:rPr>
                <w:b w:val="false"/>
                <w:bCs w:val="false"/>
                <w:color w:val="07090B"/>
                <w:sz w:val="18"/>
                <w:szCs w:val="18"/>
              </w:rPr>
              <w:t xml:space="preserve">Technische Teilprojektverantwortung für Rechenzentrumsumzug sowie Migration und Neuaufbau von Applikationen und Serverinfrastrukturen in redundanten, hochverfügbaren Zielumgebungen.</w:t>
            </w:r>
          </w:p>
          <w:p>
            <w:pPr>
              <w:pStyle w:val="ListParagraph"/>
              <w:numPr>
                <w:ilvl w:val="0"/>
                <w:numId w:val="1"/>
              </w:numPr>
            </w:pPr>
            <w:r>
              <w:rPr>
                <w:b/>
                <w:bCs/>
                <w:color w:val="1B6E5A"/>
                <w:sz w:val="18"/>
                <w:szCs w:val="18"/>
              </w:rPr>
              <w:t xml:space="preserve">Erfolg: Erfolgreicher Rechenzentrumsumzug mit stabiler Überführung in den Betrieb – Beitrag durch koordinierte Umsetzung und abgestimmte Infrastrukturabhängigkeiten.</w:t>
            </w:r>
          </w:p>
          <w:p>
            <w:pPr>
              <w:pStyle w:val="ListParagraph"/>
              <w:numPr>
                <w:ilvl w:val="0"/>
                <w:numId w:val="1"/>
              </w:numPr>
            </w:pPr>
            <w:r>
              <w:rPr>
                <w:b/>
                <w:bCs/>
                <w:color w:val="1B6E5A"/>
                <w:sz w:val="18"/>
                <w:szCs w:val="18"/>
              </w:rPr>
              <w:t xml:space="preserve">Erfolg: IPv6 im Unternehmensumfeld eingeführt – als Baustein der langfristigen Modernisierung der Netzwerkinfrastruktur.</w:t>
            </w:r>
          </w:p>
          <w:p>
            <w:pPr>
              <w:pStyle w:val="ListParagraph"/>
              <w:numPr>
                <w:ilvl w:val="0"/>
                <w:numId w:val="1"/>
              </w:numPr>
            </w:pPr>
            <w:r>
              <w:rPr>
                <w:b/>
                <w:bCs/>
                <w:color w:val="1B6E5A"/>
                <w:sz w:val="18"/>
                <w:szCs w:val="18"/>
              </w:rPr>
              <w:t xml:space="preserve">Erfolg: Verbesserung von Teamdurchsatz und Betriebsstabilität durch automatisierte Abläufe und strukturiertere Ressourcensteuerung.</w:t>
            </w:r>
          </w:p>
          <w:p/>
          <w:p>
            <w:r>
              <w:rPr>
                <w:b/>
                <w:bCs/>
                <w:sz w:val="20"/>
                <w:szCs w:val="20"/>
              </w:rPr>
              <w:t xml:space="preserve">Systemarchitekt E-Mail-Archiv</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Systemarchitekt für die unternehmensweite E-Mail-Archivierungsplattform mit Verantwortung für Architektur, technische Weiterentwicklung und langfristige Wartbarkeit.</w:t>
            </w:r>
          </w:p>
          <w:p>
            <w:pPr>
              <w:pStyle w:val="ListParagraph"/>
              <w:numPr>
                <w:ilvl w:val="0"/>
                <w:numId w:val="1"/>
              </w:numPr>
            </w:pPr>
            <w:r>
              <w:rPr>
                <w:b w:val="false"/>
                <w:bCs w:val="false"/>
                <w:color w:val="07090B"/>
                <w:sz w:val="18"/>
                <w:szCs w:val="18"/>
              </w:rPr>
              <w:t xml:space="preserve">Architektur, Design und Implementierung eines rechtssicheren Archivs für mehr als 50.000 Nutzer mit unveränderbarer Aufbewahrung, Prüfbarkeit und dauerhaft tragfähigem Betrieb.</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für die effiziente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Zusätzliche Verantwortung in der umliegenden Mail-Infrastruktur, darunter Dovecot, Postfix, Linux-basierte Dienste, DNS, Proxy, Lastverteilung und Cloud-Speicher.</w:t>
            </w:r>
          </w:p>
          <w:p>
            <w:pPr>
              <w:pStyle w:val="ListParagraph"/>
              <w:numPr>
                <w:ilvl w:val="0"/>
                <w:numId w:val="1"/>
              </w:numPr>
            </w:pPr>
            <w:r>
              <w:rPr>
                <w:b/>
                <w:bCs/>
                <w:color w:val="1B6E5A"/>
                <w:sz w:val="18"/>
                <w:szCs w:val="18"/>
              </w:rPr>
              <w:t xml:space="preserve">Erfolg: Stabiles, compliance-gerechtes Archiv für mehr als 50.000 Nutzer bereitgestellt, das im gesamten Unternehmen täglich genutzt wurde.</w:t>
            </w:r>
          </w:p>
          <w:p>
            <w:pPr>
              <w:pStyle w:val="ListParagraph"/>
              <w:numPr>
                <w:ilvl w:val="0"/>
                <w:numId w:val="1"/>
              </w:numPr>
            </w:pPr>
            <w:r>
              <w:rPr>
                <w:b/>
                <w:bCs/>
                <w:color w:val="1B6E5A"/>
                <w:sz w:val="18"/>
                <w:szCs w:val="18"/>
              </w:rPr>
              <w:t xml:space="preserve">Erfolg: Unveränderbare Aufbewahrung über mehr als 10 Jahre etabliert – im Einklang mit strengen regulatorischen Anforderungen.</w:t>
            </w:r>
          </w:p>
          <w:p/>
          <w:p>
            <w:pPr>
              <w:spacing w:after="50" w:before="150"/>
            </w:pPr>
            <w:r>
              <w:rPr>
                <w:b/>
                <w:bCs/>
                <w:sz w:val="20"/>
                <w:szCs w:val="20"/>
              </w:rPr>
              <w:t xml:space="preserve">Weitere Projekte &amp; Engagements</w:t>
            </w:r>
          </w:p>
          <w:p>
            <w:pPr>
              <w:spacing w:after="50"/>
            </w:pPr>
            <w:r>
              <w:rPr>
                <w:color w:val="1B6E5A"/>
                <w:sz w:val="18"/>
                <w:szCs w:val="18"/>
              </w:rPr>
              <w:t xml:space="preserve">Kürzere Aufträge, Produktentwicklung, Vorstandsarbeit und gemeinnütziges Engagement – kompakt, aber mit derselben Sorgfalt.</w:t>
            </w:r>
          </w:p>
          <w:p>
            <w:pPr>
              <w:spacing w:after="80"/>
            </w:pPr>
            <w:r>
              <w:rPr>
                <w:color w:val="3A2366"/>
                <w:sz w:val="16"/>
                <w:szCs w:val="16"/>
              </w:rPr>
              <w:t xml:space="preserve">Spezialisierte, flexible oder fokussierte Initiativen, die die Gesamtarbeit ergänzen.</w:t>
            </w:r>
          </w:p>
          <w:p>
            <w:r>
              <w:rPr>
                <w:b/>
                <w:bCs/>
                <w:sz w:val="20"/>
                <w:szCs w:val="20"/>
              </w:rPr>
              <w:t xml:space="preserve">Lead Software Engineer – SchlauFabrik</w:t>
            </w:r>
          </w:p>
          <w:p>
            <w:r>
              <w:rPr>
                <w:color w:val="1B6E5A"/>
                <w:sz w:val="18"/>
                <w:szCs w:val="18"/>
              </w:rPr>
              <w:t xml:space="preserve">xtensible UG (haftungsbeschränkt) &amp; Co. KG</w:t>
            </w:r>
            <w:r>
              <w:rPr>
                <w:color w:val="3A2366"/>
                <w:sz w:val="18"/>
                <w:szCs w:val="18"/>
              </w:rPr>
              <w:t xml:space="preserve"> — Dez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Architektur und Entwicklung einer mandantenfähigen Trainingsplattform für Compliance- und KI-Themen mit rollenbasierter Zugriffskontrolle und klarer Mandantenisolation.</w:t>
            </w:r>
          </w:p>
          <w:p>
            <w:pPr>
              <w:pStyle w:val="ListParagraph"/>
              <w:numPr>
                <w:ilvl w:val="0"/>
                <w:numId w:val="1"/>
              </w:numPr>
            </w:pPr>
            <w:r>
              <w:rPr>
                <w:b w:val="false"/>
                <w:bCs w:val="false"/>
                <w:color w:val="07090B"/>
                <w:sz w:val="18"/>
                <w:szCs w:val="18"/>
              </w:rPr>
              <w:t xml:space="preserve">Umsetzung zentraler Plattformfunktionen wie Kursauslieferung, Fortschrittsverfolgung, Quizze, Zuweisungen sowie Admin-Dashboards für Mandanten- und Benutzerverwaltung.</w:t>
            </w:r>
          </w:p>
          <w:p>
            <w:pPr>
              <w:pStyle w:val="ListParagraph"/>
              <w:numPr>
                <w:ilvl w:val="0"/>
                <w:numId w:val="1"/>
              </w:numPr>
            </w:pPr>
            <w:r>
              <w:rPr>
                <w:b w:val="false"/>
                <w:bCs w:val="false"/>
                <w:color w:val="07090B"/>
                <w:sz w:val="18"/>
                <w:szCs w:val="18"/>
              </w:rPr>
              <w:t xml:space="preserve">Implementierung von Security-by-Design mit Postgres Row-Level Security, Audit-Logs, Rate Limiting sowie gehärteten Authentifizierungsflüssen auf Basis von Passkeys, Magic Links, 2FA und SSO.</w:t>
            </w:r>
          </w:p>
          <w:p>
            <w:pPr>
              <w:pStyle w:val="ListParagraph"/>
              <w:numPr>
                <w:ilvl w:val="0"/>
                <w:numId w:val="1"/>
              </w:numPr>
            </w:pPr>
            <w:r>
              <w:rPr>
                <w:b w:val="false"/>
                <w:bCs w:val="false"/>
                <w:color w:val="07090B"/>
                <w:sz w:val="18"/>
                <w:szCs w:val="18"/>
              </w:rPr>
              <w:t xml:space="preserve">Entwicklung manipulationserschwerter PDF-Zertifikate mit QR-Verifikation, kryptografischem Hashing und Bulk-Export-Funktionen für Audit- und Nachweisprozesse.</w:t>
            </w:r>
          </w:p>
          <w:p>
            <w:pPr>
              <w:pStyle w:val="ListParagraph"/>
              <w:numPr>
                <w:ilvl w:val="0"/>
                <w:numId w:val="1"/>
              </w:numPr>
            </w:pPr>
            <w:r>
              <w:rPr>
                <w:b w:val="false"/>
                <w:bCs w:val="false"/>
                <w:color w:val="07090B"/>
                <w:sz w:val="18"/>
                <w:szCs w:val="18"/>
              </w:rPr>
              <w:t xml:space="preserve">Integration von Stripe-Abrechnung inklusive Subscriptions, Customer Portal und Webhooks sowie Umsetzung mandantenbasierter Lizenzmodelle und Soft-Lock-Mechanismen für Nutzungsgrenzen.</w:t>
            </w:r>
          </w:p>
          <w:p>
            <w:pPr>
              <w:pStyle w:val="ListParagraph"/>
              <w:numPr>
                <w:ilvl w:val="0"/>
                <w:numId w:val="1"/>
              </w:numPr>
            </w:pPr>
            <w:r>
              <w:rPr>
                <w:b w:val="false"/>
                <w:bCs w:val="false"/>
                <w:color w:val="07090B"/>
                <w:sz w:val="18"/>
                <w:szCs w:val="18"/>
              </w:rPr>
              <w:t xml:space="preserve">Technische Umsetzung mit Next.js App Router, TypeScript, Bun, Tailwind, next-intl, Neon Postgres, Resend sowie automatisierten Tests mit Vitest und Playwright.</w:t>
            </w:r>
          </w:p>
          <w:p>
            <w:pPr>
              <w:pStyle w:val="ListParagraph"/>
              <w:numPr>
                <w:ilvl w:val="0"/>
                <w:numId w:val="1"/>
              </w:numPr>
            </w:pPr>
            <w:r>
              <w:rPr>
                <w:b/>
                <w:bCs/>
                <w:color w:val="1B6E5A"/>
                <w:sz w:val="18"/>
                <w:szCs w:val="18"/>
              </w:rPr>
              <w:t xml:space="preserve">Erfolg: Mandantenfähige SaaS-Plattform aufgebaut, die produktiv im Kundeneinsatz ist – mit Row-Level Security, Audit-Logs und Stripe-Abrechnung.</w:t>
            </w:r>
          </w:p>
          <w:p>
            <w:pPr>
              <w:pStyle w:val="ListParagraph"/>
              <w:numPr>
                <w:ilvl w:val="0"/>
                <w:numId w:val="1"/>
              </w:numPr>
            </w:pPr>
            <w:r>
              <w:rPr>
                <w:b/>
                <w:bCs/>
                <w:color w:val="1B6E5A"/>
                <w:sz w:val="18"/>
                <w:szCs w:val="18"/>
              </w:rPr>
              <w:t xml:space="preserve">Erfolg: Produktlogik, Compliance-Anforderungen und technische Umsetzung in einer konsistenten Plattformarchitektur verbunden.</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Konzeption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bCs/>
                <w:color w:val="1B6E5A"/>
                <w:sz w:val="18"/>
                <w:szCs w:val="18"/>
              </w:rPr>
              <w:t xml:space="preserve">Erfolg: DSGVO-konformen Datenschutzrahmen von Grund auf aufgebaut.</w:t>
            </w:r>
          </w:p>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Verantwortung auf Vorstandsebene für Informationssicherheit, Datenschutz und Compliance-Themen.</w:t>
            </w:r>
          </w:p>
          <w:p>
            <w:pPr>
              <w:pStyle w:val="ListParagraph"/>
              <w:numPr>
                <w:ilvl w:val="0"/>
                <w:numId w:val="1"/>
              </w:numPr>
            </w:pPr>
            <w:r>
              <w:rPr>
                <w:b w:val="false"/>
                <w:bCs w:val="false"/>
                <w:color w:val="07090B"/>
                <w:sz w:val="18"/>
                <w:szCs w:val="18"/>
              </w:rPr>
              <w:t xml:space="preserve">Vertrauenswürdiger Ansprechpartner für Security-, Infrastruktur- und regulatorische Anforderungen in Kundenprojekten.</w:t>
            </w:r>
          </w:p>
          <w:p>
            <w:pPr>
              <w:pStyle w:val="ListParagraph"/>
              <w:numPr>
                <w:ilvl w:val="0"/>
                <w:numId w:val="1"/>
              </w:numPr>
            </w:pPr>
            <w:r>
              <w:rPr>
                <w:b w:val="false"/>
                <w:bCs w:val="false"/>
                <w:color w:val="07090B"/>
                <w:sz w:val="18"/>
                <w:szCs w:val="18"/>
              </w:rPr>
              <w:t xml:space="preserve">Beitrag zu sicheren und rechtskonformen IT-Architekturen mit Fokus auf moderne Technologien wie IPv6, Zero Trust und Zero-Config-VPN-Ansätze.</w:t>
            </w:r>
          </w:p>
          <w:p>
            <w:pPr>
              <w:pStyle w:val="ListParagraph"/>
              <w:numPr>
                <w:ilvl w:val="0"/>
                <w:numId w:val="1"/>
              </w:numPr>
            </w:pPr>
            <w:r>
              <w:rPr>
                <w:b w:val="false"/>
                <w:bCs w:val="false"/>
                <w:color w:val="07090B"/>
                <w:sz w:val="18"/>
                <w:szCs w:val="18"/>
              </w:rPr>
              <w:t xml:space="preserve">Verbindung von Governance-Anforderungen mit praktischer technischer Umsetzung in Security- und Infrastrukturinitiativen.</w:t>
            </w:r>
          </w:p>
          <w:p/>
          <w:p>
            <w:r>
              <w:rPr>
                <w:b/>
                <w:bCs/>
                <w:sz w:val="20"/>
                <w:szCs w:val="20"/>
              </w:rPr>
              <w:t xml:space="preserve">KI-Training &amp; Tool-Evaluierung</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Evaluierung aufkommender agentischer KI-Workflows zur mehrstufigen Aufgabenorchestrierung und deren Integration in Automatisierungsumgebungen von Unternehmen.</w:t>
            </w:r>
          </w:p>
          <w:p>
            <w:pPr>
              <w:pStyle w:val="ListParagraph"/>
              <w:numPr>
                <w:ilvl w:val="0"/>
                <w:numId w:val="1"/>
              </w:numPr>
            </w:pPr>
            <w:r>
              <w:rPr>
                <w:b/>
                <w:bCs/>
                <w:color w:val="1B6E5A"/>
                <w:sz w:val="18"/>
                <w:szCs w:val="18"/>
              </w:rPr>
              <w:t xml:space="preserve">Erfolg: Zehn KI- und Automatisierungsplattformen analysiert und bewertet: OpenAI ChatGPT, OpenAI Open-Weight GPT-OSS, Microsoft Copilot, Perplexity, Anthropic Claude, Apple Foundation, z.AI GLM, n8n, make.com und Zapier.</w:t>
            </w:r>
          </w:p>
          <w:p>
            <w:pPr>
              <w:pStyle w:val="ListParagraph"/>
              <w:numPr>
                <w:ilvl w:val="0"/>
                <w:numId w:val="1"/>
              </w:numPr>
            </w:pPr>
            <w:r>
              <w:rPr>
                <w:b/>
                <w:bCs/>
                <w:color w:val="1B6E5A"/>
                <w:sz w:val="18"/>
                <w:szCs w:val="18"/>
              </w:rPr>
              <w:t xml:space="preserve">Erfolg: Entscheidungsvorlage erstellt, die führende KI- und Automatisierungsplattformen nach Datenschutz, Zuverlässigkeit, API-Integration und Governance-Tauglichkeit vergleicht.</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bCs/>
                <w:color w:val="1B6E5A"/>
                <w:sz w:val="18"/>
                <w:szCs w:val="18"/>
              </w:rPr>
              <w:t xml:space="preserve">Erfolg: Ausführliches Review-Papier übergeben: technische Befunde nach Schweregrad, empfohlene Maßnahmen und eine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 27001</w:t>
            </w:r>
            <w:r>
              <w:rPr>
                <w:color w:val="1B6E5A"/>
                <w:sz w:val="18"/>
                <w:szCs w:val="18"/>
              </w:rPr>
              <w:t xml:space="preserve">, </w:t>
            </w:r>
            <w:r>
              <w:rPr>
                <w:color w:val="1B6E5A"/>
                <w:sz w:val="18"/>
                <w:szCs w:val="18"/>
              </w:rPr>
              <w:t xml:space="preserve">SOC 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Schwachstellenmanagement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Penetrationstest-Koordination</w:t>
            </w:r>
          </w:p>
          <w:p>
            <w:r>
              <w:rPr>
                <w:b/>
                <w:bCs/>
                <w:sz w:val="20"/>
                <w:szCs w:val="20"/>
              </w:rPr>
              <w:t xml:space="preserve">Infrastruktur &amp; Plattformen</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Bash-/Shell-Skripte</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Architektur &amp; Führung</w:t>
            </w:r>
          </w:p>
          <w:p>
            <w:r>
              <w:rPr>
                <w:color w:val="1B6E5A"/>
                <w:sz w:val="18"/>
                <w:szCs w:val="18"/>
              </w:rPr>
              <w:t xml:space="preserve">Software-Architektur</w:t>
            </w:r>
            <w:r>
              <w:rPr>
                <w:color w:val="1B6E5A"/>
                <w:sz w:val="18"/>
                <w:szCs w:val="18"/>
              </w:rPr>
              <w:t xml:space="preserve">, </w:t>
            </w:r>
            <w:r>
              <w:rPr>
                <w:color w:val="1B6E5A"/>
                <w:sz w:val="18"/>
                <w:szCs w:val="18"/>
              </w:rPr>
              <w:t xml:space="preserve">Plattformarchitektur</w:t>
            </w:r>
            <w:r>
              <w:rPr>
                <w:color w:val="1B6E5A"/>
                <w:sz w:val="18"/>
                <w:szCs w:val="18"/>
              </w:rPr>
              <w:t xml:space="preserve">, </w:t>
            </w:r>
            <w:r>
              <w:rPr>
                <w:color w:val="1B6E5A"/>
                <w:sz w:val="18"/>
                <w:szCs w:val="18"/>
              </w:rPr>
              <w:t xml:space="preserve">Infrastrukturarchitektur</w:t>
            </w:r>
            <w:r>
              <w:rPr>
                <w:color w:val="1B6E5A"/>
                <w:sz w:val="18"/>
                <w:szCs w:val="18"/>
              </w:rPr>
              <w:t xml:space="preserve">, </w:t>
            </w:r>
            <w:r>
              <w:rPr>
                <w:color w:val="1B6E5A"/>
                <w:sz w:val="18"/>
                <w:szCs w:val="18"/>
              </w:rPr>
              <w:t xml:space="preserve">Technische Führung</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Technische Konzepte</w:t>
            </w:r>
            <w:r>
              <w:rPr>
                <w:color w:val="1B6E5A"/>
                <w:sz w:val="18"/>
                <w:szCs w:val="18"/>
              </w:rPr>
              <w:t xml:space="preserve">, </w:t>
            </w:r>
            <w:r>
              <w:rPr>
                <w:color w:val="1B6E5A"/>
                <w:sz w:val="18"/>
                <w:szCs w:val="18"/>
              </w:rPr>
              <w:t xml:space="preserve">Delivery-Struktur</w:t>
            </w:r>
          </w:p>
          <w:p>
            <w:r>
              <w:rPr>
                <w:b/>
                <w:bCs/>
                <w:sz w:val="20"/>
                <w:szCs w:val="20"/>
              </w:rPr>
              <w:t xml:space="preserve">KI</w:t>
            </w:r>
          </w:p>
          <w:p>
            <w:r>
              <w:rPr>
                <w:color w:val="1B6E5A"/>
                <w:sz w:val="18"/>
                <w:szCs w:val="18"/>
              </w:rPr>
              <w:t xml:space="preserve">KI-Workflows</w:t>
            </w:r>
            <w:r>
              <w:rPr>
                <w:color w:val="1B6E5A"/>
                <w:sz w:val="18"/>
                <w:szCs w:val="18"/>
              </w:rPr>
              <w:t xml:space="preserve">, </w:t>
            </w:r>
            <w:r>
              <w:rPr>
                <w:color w:val="1B6E5A"/>
                <w:sz w:val="18"/>
                <w:szCs w:val="18"/>
              </w:rPr>
              <w:t xml:space="preserve">Agentische KI</w:t>
            </w:r>
            <w:r>
              <w:rPr>
                <w:color w:val="1B6E5A"/>
                <w:sz w:val="18"/>
                <w:szCs w:val="18"/>
              </w:rPr>
              <w:t xml:space="preserve">, </w:t>
            </w:r>
            <w:r>
              <w:rPr>
                <w:color w:val="1B6E5A"/>
                <w:sz w:val="18"/>
                <w:szCs w:val="18"/>
              </w:rPr>
              <w:t xml:space="preserve">Evaluierung von KI-Werkzeugen</w:t>
            </w:r>
            <w:r>
              <w:rPr>
                <w:color w:val="1B6E5A"/>
                <w:sz w:val="18"/>
                <w:szCs w:val="18"/>
              </w:rPr>
              <w:t xml:space="preserve">, </w:t>
            </w:r>
            <w:r>
              <w:rPr>
                <w:color w:val="1B6E5A"/>
                <w:sz w:val="18"/>
                <w:szCs w:val="18"/>
              </w:rPr>
              <w:t xml:space="preserve">KI-Trainingsplattformen</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Entwickelte Lösungen</w:t>
            </w:r>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Rechtssicheres E-Mail-Archiv</w:t>
            </w:r>
          </w:p>
          <w:p>
            <w:pPr>
              <w:spacing w:after="100"/>
            </w:pPr>
            <w:r>
              <w:rPr>
                <w:sz w:val="18"/>
                <w:szCs w:val="18"/>
              </w:rPr>
              <w:t xml:space="preserve">Architektur, Design und Implementierung einer rechtssicheren unternehmensweiten E-Mail-Archivierungslösung für mehr als 50.000 Nutzer. Das System gewährleistet die unveränderbare Aufbewahrung sämtlicher Kommunikation über mehr als 10 Jahre und erfüllt strenge regulatorische sowie prüfungsrelevante Anforderungen. Basierend auf Open-Source-Technologien wurde das Archiv auf Skalierbarkeit, Redundanz und langfristige Wartbarkeit ausgelegt.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Zertifizierung nach SOC 2 &amp; ISO 27001</w:t>
            </w:r>
          </w:p>
          <w:p>
            <w:pPr>
              <w:spacing w:after="100"/>
            </w:pPr>
            <w:r>
              <w:rPr>
                <w:sz w:val="18"/>
                <w:szCs w:val="18"/>
              </w:rPr>
              <w:t xml:space="preserve">Umsetzung der Anforderungen aus SOC 2 und ISO 27001 durch Einführung von Informationssicherheitsrichtlinien, Kontrollen und Nachweisstrukturen im Einklang mit Audit- und Zertifizierungsanforderungen.</w:t>
            </w:r>
          </w:p>
          <w:p/>
          <w:p>
            <w:r>
              <w:rPr>
                <w:b/>
                <w:bCs/>
                <w:sz w:val="20"/>
                <w:szCs w:val="20"/>
              </w:rPr>
              <w:t xml:space="preserve">Zero-Config-VPN-Netz auf IPv6-Basis</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Einführung der Enterprise-Backup-Lösung von Rubrik – für besseren Datenschutz, kürzere Wiederherstellungszeiten und eine einfachere Verwaltung hybrider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für die Einkommensteuer relevante Dokumente zu erkennen und entsprechend zu verschlagworten.</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Oktober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2026-10-18T16:20:19.222Z</dcterms:created>
  <dcterms:modified xsi:type="dcterms:W3CDTF">2026-10-18T16:20:19.222Z</dcterms:modified>
</cp:coreProperties>
</file>

<file path=docProps/custom.xml><?xml version="1.0" encoding="utf-8"?>
<Properties xmlns="http://schemas.openxmlformats.org/officeDocument/2006/custom-properties" xmlns:vt="http://schemas.openxmlformats.org/officeDocument/2006/docPropsVTypes"/>
</file>