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Leitung der IPv6-Migration für DRV RP und DRV BW inklusive Governance, Planungsrhythmus und Umsetzungssteuerung.</w:t>
            </w:r>
          </w:p>
          <w:p>
            <w:pPr>
              <w:pStyle w:val="ListParagraph"/>
              <w:numPr>
                <w:ilvl w:val="0"/>
                <w:numId w:val="1"/>
              </w:numPr>
            </w:pPr>
            <w:r>
              <w:rPr>
                <w:b w:val="false"/>
                <w:bCs w:val="false"/>
                <w:color w:val="07090B"/>
                <w:sz w:val="18"/>
                <w:szCs w:val="18"/>
              </w:rPr>
              <w:t xml:space="preserve">Aufbau und operative Einführung eines Projektsteuerungsmodells mit Dashboard, Action Board, KPI-Portfolio, Risikoregister und Entscheidungsindex.</w:t>
            </w:r>
          </w:p>
          <w:p>
            <w:pPr>
              <w:pStyle w:val="ListParagraph"/>
              <w:numPr>
                <w:ilvl w:val="0"/>
                <w:numId w:val="1"/>
              </w:numPr>
            </w:pPr>
            <w:r>
              <w:rPr>
                <w:b w:val="false"/>
                <w:bCs w:val="false"/>
                <w:color w:val="07090B"/>
                <w:sz w:val="18"/>
                <w:szCs w:val="18"/>
              </w:rPr>
              <w:t xml:space="preserve">Koordination der Architektur-, Sicherheits- und Rollout-Vorbereitung über Adressierung, Segmentierung, Dual-Stack-Übergang, Testlabor-Planung und teamübergreifende Abhängigkeiten hinweg.</w:t>
            </w:r>
          </w:p>
          <w:p>
            <w:pPr>
              <w:pStyle w:val="ListParagraph"/>
              <w:numPr>
                <w:ilvl w:val="0"/>
                <w:numId w:val="1"/>
              </w:numPr>
            </w:pPr>
            <w:r>
              <w:rPr>
                <w:b w:val="false"/>
                <w:bCs w:val="false"/>
                <w:color w:val="07090B"/>
                <w:sz w:val="18"/>
                <w:szCs w:val="18"/>
              </w:rPr>
              <w:t xml:space="preserve">Steuerung der compliance-relevanten Abstimmung zu BSI-, NIS2- und KRITIS-Anforderungen, Evidence-Pflicht und transparentem Reporting an Management und Stakeholder beim Träger.</w:t>
            </w:r>
          </w:p>
          <w:p>
            <w:pPr>
              <w:pStyle w:val="ListParagraph"/>
              <w:numPr>
                <w:ilvl w:val="0"/>
                <w:numId w:val="1"/>
              </w:numPr>
            </w:pPr>
            <w:r>
              <w:rPr>
                <w:b/>
                <w:bCs/>
                <w:color w:val="1B6E5A"/>
                <w:sz w:val="18"/>
                <w:szCs w:val="18"/>
              </w:rPr>
              <w:t xml:space="preserve">Erfolg: Etablierung eines wiederverwendbaren Intake-to-Governance-Workflows, um nachvollziehbare Actions, Risiken, offene Fragen und Nachweisanfragen zu erstellen.</w:t>
            </w:r>
          </w:p>
          <w:p>
            <w:pPr>
              <w:pStyle w:val="ListParagraph"/>
              <w:numPr>
                <w:ilvl w:val="0"/>
                <w:numId w:val="1"/>
              </w:numPr>
            </w:pPr>
            <w:r>
              <w:rPr>
                <w:b/>
                <w:bCs/>
                <w:color w:val="1B6E5A"/>
                <w:sz w:val="18"/>
                <w:szCs w:val="18"/>
              </w:rPr>
              <w:t xml:space="preserve">Erfolg: Schaffung der operativen Baseline für die Programmausführung mit messbaren KPIs, klaren Verantwortlichkeiten und Entscheidungstransparenz.</w:t>
            </w:r>
          </w:p>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Analyse, Fehlerbehebung und nachhaltige Problemlösung im Bereich E-Mail-Infrastrukturen.</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sowie Migration und Neuaufbau von Applikationen und Serverinfrastrukturen in redundante, hochverfügbare Umgebungen.</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2026-02-17T08:27:47.526Z</dcterms:created>
  <dcterms:modified xsi:type="dcterms:W3CDTF">2026-02-17T08:27:47.526Z</dcterms:modified>
</cp:coreProperties>
</file>

<file path=docProps/custom.xml><?xml version="1.0" encoding="utf-8"?>
<Properties xmlns="http://schemas.openxmlformats.org/officeDocument/2006/custom-properties" xmlns:vt="http://schemas.openxmlformats.org/officeDocument/2006/docPropsVTypes"/>
</file>